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CC2B" w14:textId="77777777" w:rsidR="00C95D95" w:rsidRDefault="00000000">
      <w:pPr>
        <w:spacing w:before="120" w:after="120"/>
      </w:pPr>
      <w:r>
        <w:rPr>
          <w:rFonts w:ascii="Arial" w:eastAsia="Arial" w:hAnsi="Arial" w:cs="Arial"/>
          <w:b/>
          <w:bCs/>
          <w:color w:val="0F1A2E"/>
          <w:sz w:val="18"/>
          <w:szCs w:val="18"/>
        </w:rPr>
        <w:t>FISCAL POLICY  ·  WEALTH STRATEGY</w:t>
      </w:r>
    </w:p>
    <w:p w14:paraId="29714BAA" w14:textId="77777777" w:rsidR="00C95D95" w:rsidRDefault="00000000">
      <w:pPr>
        <w:spacing w:after="80"/>
      </w:pPr>
      <w:r>
        <w:rPr>
          <w:rFonts w:ascii="Arial" w:eastAsia="Arial" w:hAnsi="Arial" w:cs="Arial"/>
          <w:b/>
          <w:bCs/>
          <w:color w:val="0F1A2E"/>
          <w:sz w:val="48"/>
          <w:szCs w:val="48"/>
        </w:rPr>
        <w:t>The Closing Cage</w:t>
      </w:r>
    </w:p>
    <w:p w14:paraId="7A707B84" w14:textId="77777777" w:rsidR="00C95D95" w:rsidRDefault="00000000">
      <w:pPr>
        <w:spacing w:after="200"/>
      </w:pPr>
      <w:r>
        <w:rPr>
          <w:rFonts w:ascii="Arial" w:eastAsia="Arial" w:hAnsi="Arial" w:cs="Arial"/>
          <w:i/>
          <w:iCs/>
          <w:color w:val="C5993E"/>
          <w:sz w:val="26"/>
          <w:szCs w:val="26"/>
        </w:rPr>
        <w:t>Wealth Taxation, Capital Controls, and the Coming Threat to EU Citizens</w:t>
      </w:r>
    </w:p>
    <w:p w14:paraId="483F7116" w14:textId="77777777" w:rsidR="00C95D95" w:rsidRDefault="00000000">
      <w:r>
        <w:rPr>
          <w:rFonts w:ascii="Arial" w:eastAsia="Arial" w:hAnsi="Arial" w:cs="Arial"/>
          <w:b/>
          <w:bCs/>
          <w:color w:val="0F1A2E"/>
          <w:sz w:val="22"/>
          <w:szCs w:val="22"/>
        </w:rPr>
        <w:t>CI Mavericks Editorial</w:t>
      </w:r>
      <w:r>
        <w:rPr>
          <w:rFonts w:ascii="Arial" w:eastAsia="Arial" w:hAnsi="Arial" w:cs="Arial"/>
          <w:b/>
          <w:bCs/>
          <w:color w:val="C5993E"/>
          <w:sz w:val="22"/>
          <w:szCs w:val="22"/>
        </w:rPr>
        <w:t xml:space="preserve">    |    </w:t>
      </w:r>
      <w:r>
        <w:rPr>
          <w:rFonts w:ascii="Arial" w:eastAsia="Arial" w:hAnsi="Arial" w:cs="Arial"/>
          <w:b/>
          <w:bCs/>
          <w:color w:val="0F1A2E"/>
          <w:sz w:val="22"/>
          <w:szCs w:val="22"/>
        </w:rPr>
        <w:t>May 2026</w:t>
      </w:r>
      <w:r>
        <w:rPr>
          <w:rFonts w:ascii="Arial" w:eastAsia="Arial" w:hAnsi="Arial" w:cs="Arial"/>
          <w:b/>
          <w:bCs/>
          <w:color w:val="C5993E"/>
          <w:sz w:val="22"/>
          <w:szCs w:val="22"/>
        </w:rPr>
        <w:t xml:space="preserve">    |    </w:t>
      </w:r>
      <w:r>
        <w:rPr>
          <w:rFonts w:ascii="Arial" w:eastAsia="Arial" w:hAnsi="Arial" w:cs="Arial"/>
          <w:b/>
          <w:bCs/>
          <w:color w:val="0F1A2E"/>
          <w:sz w:val="22"/>
          <w:szCs w:val="22"/>
        </w:rPr>
        <w:t>18 min read</w:t>
      </w:r>
      <w:r>
        <w:rPr>
          <w:rFonts w:ascii="Arial" w:eastAsia="Arial" w:hAnsi="Arial" w:cs="Arial"/>
          <w:b/>
          <w:bCs/>
          <w:color w:val="C5993E"/>
          <w:sz w:val="22"/>
          <w:szCs w:val="22"/>
        </w:rPr>
        <w:t xml:space="preserve">    |    </w:t>
      </w:r>
      <w:r>
        <w:rPr>
          <w:rFonts w:ascii="Arial" w:eastAsia="Arial" w:hAnsi="Arial" w:cs="Arial"/>
          <w:i/>
          <w:iCs/>
          <w:color w:val="333333"/>
          <w:sz w:val="22"/>
          <w:szCs w:val="22"/>
        </w:rPr>
        <w:t>Source: European Commission KP-01-26-015-EN-N</w:t>
      </w:r>
    </w:p>
    <w:p w14:paraId="44E235AE" w14:textId="77777777" w:rsidR="00C95D95" w:rsidRDefault="00C95D95">
      <w:pPr>
        <w:pBdr>
          <w:bottom w:val="single" w:sz="8" w:space="4" w:color="C5993E"/>
        </w:pBdr>
        <w:spacing w:before="200" w:after="240"/>
      </w:pPr>
    </w:p>
    <w:p w14:paraId="35322223" w14:textId="77777777" w:rsidR="00C95D95" w:rsidRDefault="00000000">
      <w:pPr>
        <w:pBdr>
          <w:bottom w:val="single" w:sz="6" w:space="4" w:color="C5993E"/>
        </w:pBdr>
        <w:spacing w:before="360" w:after="200"/>
      </w:pPr>
      <w:r>
        <w:rPr>
          <w:rFonts w:ascii="Arial" w:eastAsia="Arial" w:hAnsi="Arial" w:cs="Arial"/>
          <w:b/>
          <w:bCs/>
          <w:color w:val="0F1A2E"/>
          <w:sz w:val="30"/>
          <w:szCs w:val="30"/>
        </w:rPr>
        <w:t>Executive Summary</w:t>
      </w:r>
    </w:p>
    <w:p w14:paraId="5F546EF5" w14:textId="77777777" w:rsidR="00C95D95" w:rsidRDefault="00000000">
      <w:pPr>
        <w:spacing w:after="200" w:line="300" w:lineRule="auto"/>
        <w:jc w:val="both"/>
      </w:pPr>
      <w:r>
        <w:rPr>
          <w:rFonts w:ascii="Arial" w:eastAsia="Arial" w:hAnsi="Arial" w:cs="Arial"/>
          <w:i/>
          <w:iCs/>
          <w:color w:val="333333"/>
          <w:sz w:val="22"/>
          <w:szCs w:val="22"/>
        </w:rPr>
        <w:t>In March 2026, the European Commission published Volume 2 of its commissioned study on wealth taxation, including net wealth, capital, and exit taxes. The document was prepared by a consortium led by CASE, with WIFO, PwC, IEB, the ifo Institute, and VATT. Although presented as comparative academic research, the document functions as a working policy manual: it catalogues which design features of wealth taxes have failed historically, identifies the precise enforcement gaps that allowed the wealthy to escape, and examines how those gaps have now been closed by the post-2014 international financial transparency regime.</w:t>
      </w:r>
    </w:p>
    <w:p w14:paraId="45318977" w14:textId="77777777" w:rsidR="00C95D95" w:rsidRDefault="00000000">
      <w:pPr>
        <w:spacing w:after="200" w:line="300" w:lineRule="auto"/>
        <w:jc w:val="both"/>
      </w:pPr>
      <w:r>
        <w:rPr>
          <w:rFonts w:ascii="Arial" w:eastAsia="Arial" w:hAnsi="Arial" w:cs="Arial"/>
          <w:i/>
          <w:iCs/>
          <w:color w:val="333333"/>
          <w:sz w:val="22"/>
          <w:szCs w:val="22"/>
        </w:rPr>
        <w:t>The strategic conclusion is unambiguous. The technical and political preconditions for a coordinated revival of wealth taxation across Europe are now in place. The previous wave of wealth taxes — repealed across most of Europe between 1990 and 2018 — failed because banking secrecy made them unenforceable, real-estate valuation challenges made them unconstitutional, and capital mobility made them counterproductive. Each of those constraints has been substantially or completely engineered around. The case studies of Spain and Norway in particular demonstrate that wealth taxes are now being not only retained but expanded, with new architecture (Spain’s Solidarity Tax on Large Fortunes, Norway’s tightened exit tax) specifically designed to defeat the avoidance strategies that worked in earlier eras.</w:t>
      </w:r>
    </w:p>
    <w:p w14:paraId="1873799E" w14:textId="77777777" w:rsidR="00C95D95" w:rsidRDefault="00000000">
      <w:pPr>
        <w:spacing w:after="200" w:line="300" w:lineRule="auto"/>
        <w:jc w:val="both"/>
      </w:pPr>
      <w:r>
        <w:rPr>
          <w:rFonts w:ascii="Arial" w:eastAsia="Arial" w:hAnsi="Arial" w:cs="Arial"/>
          <w:i/>
          <w:iCs/>
          <w:color w:val="333333"/>
          <w:sz w:val="22"/>
          <w:szCs w:val="22"/>
        </w:rPr>
        <w:t>This report distills what the Commission’s document actually says — including findings inconvenient to its own evident policy preferences — and translates those findings into actionable intelligence for EU citizens whose wealth, businesses, or futures are exposed to European tax jurisdictions. We address three audiences: those still considering whether to take action, those mid-transition, and those who have already restructured but need to understand the trajectory of enforcement against which their structures will be tested.</w:t>
      </w:r>
    </w:p>
    <w:p w14:paraId="210D5EA5" w14:textId="77777777" w:rsidR="00C95D95" w:rsidRDefault="00000000">
      <w:pPr>
        <w:spacing w:before="240" w:after="120"/>
      </w:pPr>
      <w:r>
        <w:rPr>
          <w:rFonts w:ascii="Arial" w:eastAsia="Arial" w:hAnsi="Arial" w:cs="Arial"/>
          <w:b/>
          <w:bCs/>
          <w:color w:val="0F1A2E"/>
          <w:sz w:val="24"/>
          <w:szCs w:val="24"/>
        </w:rPr>
        <w:t>Five Findings That Should Concern Every EU Citizen of Means</w:t>
      </w:r>
    </w:p>
    <w:p w14:paraId="18F494EB"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 xml:space="preserve">The Spanish model proves that internal jurisdictional competition can be neutralized by an overriding national tax. When the Madrid region nullified its wealth tax via a 100% credit and Andalucía followed in 2022, the central government responded within months </w:t>
      </w:r>
      <w:r>
        <w:rPr>
          <w:rFonts w:ascii="Arial" w:eastAsia="Arial" w:hAnsi="Arial" w:cs="Arial"/>
          <w:color w:val="333333"/>
          <w:sz w:val="22"/>
          <w:szCs w:val="22"/>
        </w:rPr>
        <w:lastRenderedPageBreak/>
        <w:t>with the Temporary Solidarity Tax on Large Fortunes — explicitly designed to override regional sovereignty. The Constitutional Court upheld it. The same logic applied at the EU level would defeat intra-EU jurisdictional planning.</w:t>
      </w:r>
    </w:p>
    <w:p w14:paraId="7A01BEF4"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Exit taxes are no longer exceptional. France, Germany, Austria, Spain, and Norway all impose them. Norway tightened its exit tax in 2025, cutting the deferral period from indefinite to twelve years. France’s exit tax applies to anyone tax-resident for six of the prior ten years. Germany’s covers shareholdings of more than 1%. The window for pre-emptive relocation without exit-tax consequence is closing for residents of these jurisdictions.</w:t>
      </w:r>
    </w:p>
    <w:p w14:paraId="300790B3"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Banking secrecy as a meaningful constraint on wealth taxation no longer exists. Switzerland, the last meaningful holdout, capitulated under pressure in 2014 and now participates in the Automatic Exchange of Information regime. The Commission’s study repeatedly cites the AEoI as the precondition that makes recurrent wealth taxes viable. Offshoring as a defensive strategy against wealth taxes — the dominant historical response — has been largely defeated for residents of cooperating jurisdictions.</w:t>
      </w:r>
    </w:p>
    <w:p w14:paraId="2D46F8D2"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Public support for wealth taxes is durable and high across Europe — 70.9% average approval in Austria, 62.5% in Germany, three in four French respondents in favor of taxing very large estates. The political path is open. The only remaining constraints on action are constitutional questions around valuation (resolved in Spain and Norway) and the technical capacity to enforce (now substantially in place).</w:t>
      </w:r>
    </w:p>
    <w:p w14:paraId="16C4694F"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The wealth taxes most likely to be reintroduced or coordinated will not look like the failed taxes of the past. They will feature high thresholds (€1 million to €100 million), explicit anti-avoidance rules around business exemptions, mandatory market valuation of real estate, integration with the AEoI for offshore detection, and overlay structures (like Spain’s TSTLF) designed to defeat regional or national tax competition. Recent academic proposals — including the 2% minimum tax on billionaires advanced by Gabriel Zucman and discussed at the G20 — represent the leading edge of this trajectory.</w:t>
      </w:r>
    </w:p>
    <w:p w14:paraId="0808A716" w14:textId="77777777" w:rsidR="00C95D95" w:rsidRDefault="00000000">
      <w:pPr>
        <w:spacing w:before="240" w:after="120"/>
      </w:pPr>
      <w:r>
        <w:rPr>
          <w:rFonts w:ascii="Arial" w:eastAsia="Arial" w:hAnsi="Arial" w:cs="Arial"/>
          <w:b/>
          <w:bCs/>
          <w:color w:val="0F1A2E"/>
          <w:sz w:val="24"/>
          <w:szCs w:val="24"/>
        </w:rPr>
        <w:t>The Strategic Conclusion</w:t>
      </w:r>
    </w:p>
    <w:p w14:paraId="4EFEB0FC" w14:textId="77777777" w:rsidR="00C95D95" w:rsidRDefault="00000000">
      <w:pPr>
        <w:spacing w:after="200" w:line="300" w:lineRule="auto"/>
        <w:jc w:val="both"/>
      </w:pPr>
      <w:r>
        <w:rPr>
          <w:rFonts w:ascii="Arial" w:eastAsia="Arial" w:hAnsi="Arial" w:cs="Arial"/>
          <w:color w:val="333333"/>
          <w:sz w:val="22"/>
          <w:szCs w:val="22"/>
        </w:rPr>
        <w:t>EU citizens with significant wealth, business interests, or future inheritances within the EU should treat this document not as policy commentary but as advance notice. The fiscal pressure on European states is structural and intensifying. The technical and political preconditions for coordinated action are in place. The window during which jurisdictional planning, restructuring, and pre-emptive relocation can be executed without triggering exit-tax friction or anti-avoidance scrutiny is contracting. Decisions taken now, while flexibility still exists, will look considerably more prescient in five years than decisions taken under duress when the framework is finalized.</w:t>
      </w:r>
    </w:p>
    <w:p w14:paraId="1BD8A404" w14:textId="77777777" w:rsidR="00C95D95" w:rsidRDefault="00000000">
      <w:pPr>
        <w:spacing w:after="200" w:line="300" w:lineRule="auto"/>
        <w:jc w:val="both"/>
      </w:pPr>
      <w:r>
        <w:rPr>
          <w:rFonts w:ascii="Arial" w:eastAsia="Arial" w:hAnsi="Arial" w:cs="Arial"/>
          <w:color w:val="333333"/>
          <w:sz w:val="22"/>
          <w:szCs w:val="22"/>
        </w:rPr>
        <w:lastRenderedPageBreak/>
        <w:t>This report walks through the evidence in detail, jurisdiction by jurisdiction, and concludes with a structured framework for evaluating personal exposure and response options.</w:t>
      </w:r>
    </w:p>
    <w:p w14:paraId="6118F994" w14:textId="77777777" w:rsidR="00C95D95" w:rsidRDefault="00000000">
      <w:pPr>
        <w:pBdr>
          <w:bottom w:val="single" w:sz="8" w:space="6" w:color="C5993E"/>
        </w:pBdr>
        <w:spacing w:before="480" w:after="240"/>
      </w:pPr>
      <w:r>
        <w:rPr>
          <w:rFonts w:ascii="Arial" w:eastAsia="Arial" w:hAnsi="Arial" w:cs="Arial"/>
          <w:b/>
          <w:bCs/>
          <w:color w:val="0F1A2E"/>
          <w:sz w:val="36"/>
          <w:szCs w:val="36"/>
        </w:rPr>
        <w:t>Part I: What the Commission Document Actually Says</w:t>
      </w:r>
    </w:p>
    <w:p w14:paraId="162B9196" w14:textId="77777777" w:rsidR="00C95D95" w:rsidRDefault="00000000">
      <w:pPr>
        <w:spacing w:after="200" w:line="300" w:lineRule="auto"/>
        <w:jc w:val="both"/>
      </w:pPr>
      <w:r>
        <w:rPr>
          <w:rFonts w:ascii="Arial" w:eastAsia="Arial" w:hAnsi="Arial" w:cs="Arial"/>
          <w:color w:val="333333"/>
          <w:sz w:val="22"/>
          <w:szCs w:val="22"/>
        </w:rPr>
        <w:t>Before turning to implications, it is worth being precise about what the Commission’s study contains, because the document is more candid than its policy framing suggests. The case studies were authored by economists with access to tax microdata in their respective jurisdictions, and the empirical findings reported are not always flattering to the underlying policy goals. A reader looking for confirmation that wealth taxes work as advertised will not consistently find it. A reader looking for a clear-eyed account of why prior wealth taxes failed and what would be required to make a future regime succeed will find exactly that.</w:t>
      </w:r>
    </w:p>
    <w:p w14:paraId="207CF3C5" w14:textId="77777777" w:rsidR="00C95D95" w:rsidRDefault="00000000">
      <w:pPr>
        <w:pBdr>
          <w:bottom w:val="single" w:sz="6" w:space="4" w:color="C5993E"/>
        </w:pBdr>
        <w:spacing w:before="360" w:after="200"/>
      </w:pPr>
      <w:r>
        <w:rPr>
          <w:rFonts w:ascii="Arial" w:eastAsia="Arial" w:hAnsi="Arial" w:cs="Arial"/>
          <w:b/>
          <w:bCs/>
          <w:color w:val="0F1A2E"/>
          <w:sz w:val="30"/>
          <w:szCs w:val="30"/>
        </w:rPr>
        <w:t>The Historical Failures: Austria and Germany</w:t>
      </w:r>
    </w:p>
    <w:p w14:paraId="74A0A2F5" w14:textId="77777777" w:rsidR="00C95D95" w:rsidRDefault="00000000">
      <w:pPr>
        <w:spacing w:after="200" w:line="300" w:lineRule="auto"/>
        <w:jc w:val="both"/>
      </w:pPr>
      <w:r>
        <w:rPr>
          <w:rFonts w:ascii="Arial" w:eastAsia="Arial" w:hAnsi="Arial" w:cs="Arial"/>
          <w:color w:val="333333"/>
          <w:sz w:val="22"/>
          <w:szCs w:val="22"/>
        </w:rPr>
        <w:t>Austria’s wealth tax was repealed in 1994 and Germany’s was suspended in 1997. The Commission’s study attributes these failures to a consistent set of factors that are worth listing precisely, because they describe the conditions that have now changed.</w:t>
      </w:r>
    </w:p>
    <w:p w14:paraId="51987B67" w14:textId="77777777" w:rsidR="00C95D95" w:rsidRDefault="00000000">
      <w:pPr>
        <w:spacing w:after="200" w:line="300" w:lineRule="auto"/>
        <w:jc w:val="both"/>
      </w:pPr>
      <w:r>
        <w:rPr>
          <w:rFonts w:ascii="Arial" w:eastAsia="Arial" w:hAnsi="Arial" w:cs="Arial"/>
          <w:color w:val="333333"/>
          <w:sz w:val="22"/>
          <w:szCs w:val="22"/>
        </w:rPr>
        <w:t>In Austria, the tax generated only 0.47% of GDP at its peak. The reasons identified in the document include strict banking secrecy combined with anonymous numbered accounts (only abolished in 2002), real-estate valuations based on outdated unit values reflecting a small fraction of market value, generous personal allowances, and the practical fact that financial wealth could be hidden in numbered accounts essentially without consequence. The lion’s share of the burden fell on corporations rather than individuals; private households largely escaped through evasion.</w:t>
      </w:r>
    </w:p>
    <w:p w14:paraId="61C2F58F" w14:textId="77777777" w:rsidR="00C95D95" w:rsidRDefault="00000000">
      <w:pPr>
        <w:spacing w:after="200" w:line="300" w:lineRule="auto"/>
        <w:jc w:val="both"/>
      </w:pPr>
      <w:r>
        <w:rPr>
          <w:rFonts w:ascii="Arial" w:eastAsia="Arial" w:hAnsi="Arial" w:cs="Arial"/>
          <w:color w:val="333333"/>
          <w:sz w:val="22"/>
          <w:szCs w:val="22"/>
        </w:rPr>
        <w:t>In Germany, the Federal Constitutional Court ruled the wealth tax unconstitutional in 1995 because real estate was valued at outdated 1964 unit values while financial assets were valued at market. The Court also articulated the so-called Halbteilungsgrundsatz (half-and-half principle) that the combined tax burden on wealth could not exceed half of the potential returns. The federal government chose to abandon the tax rather than reform the valuation rules. Banking secrecy and the practical impossibility of accurate self-reporting were also major factors.</w:t>
      </w:r>
    </w:p>
    <w:p w14:paraId="0F53524F" w14:textId="77777777" w:rsidR="00C95D95" w:rsidRDefault="00000000">
      <w:pPr>
        <w:spacing w:after="200" w:line="300" w:lineRule="auto"/>
        <w:jc w:val="both"/>
      </w:pPr>
      <w:r>
        <w:rPr>
          <w:rFonts w:ascii="Arial" w:eastAsia="Arial" w:hAnsi="Arial" w:cs="Arial"/>
          <w:color w:val="333333"/>
          <w:sz w:val="22"/>
          <w:szCs w:val="22"/>
        </w:rPr>
        <w:t xml:space="preserve">The pattern across both countries was the same: the wealthy paid little, the merely affluent paid disproportionately, the administrative burden was high, and the revenue was modest. </w:t>
      </w:r>
      <w:r>
        <w:rPr>
          <w:rFonts w:ascii="Arial" w:eastAsia="Arial" w:hAnsi="Arial" w:cs="Arial"/>
          <w:b/>
          <w:bCs/>
          <w:color w:val="333333"/>
          <w:sz w:val="22"/>
          <w:szCs w:val="22"/>
        </w:rPr>
        <w:t>The Commission’s study is explicit that this failure pattern was driven by enforcement gaps that have since been substantially closed.</w:t>
      </w:r>
    </w:p>
    <w:p w14:paraId="0A894EA2" w14:textId="77777777" w:rsidR="00C95D95" w:rsidRDefault="00000000">
      <w:pPr>
        <w:pBdr>
          <w:bottom w:val="single" w:sz="6" w:space="4" w:color="C5993E"/>
        </w:pBdr>
        <w:spacing w:before="360" w:after="200"/>
      </w:pPr>
      <w:r>
        <w:rPr>
          <w:rFonts w:ascii="Arial" w:eastAsia="Arial" w:hAnsi="Arial" w:cs="Arial"/>
          <w:b/>
          <w:bCs/>
          <w:color w:val="0F1A2E"/>
          <w:sz w:val="30"/>
          <w:szCs w:val="30"/>
        </w:rPr>
        <w:t>The Failed Reform: France</w:t>
      </w:r>
    </w:p>
    <w:p w14:paraId="509A5D97" w14:textId="77777777" w:rsidR="00C95D95" w:rsidRDefault="00000000">
      <w:pPr>
        <w:spacing w:after="200" w:line="300" w:lineRule="auto"/>
        <w:jc w:val="both"/>
      </w:pPr>
      <w:r>
        <w:rPr>
          <w:rFonts w:ascii="Arial" w:eastAsia="Arial" w:hAnsi="Arial" w:cs="Arial"/>
          <w:color w:val="333333"/>
          <w:sz w:val="22"/>
          <w:szCs w:val="22"/>
        </w:rPr>
        <w:lastRenderedPageBreak/>
        <w:t>France retained its wealth tax (the ISF) from 1989 until 2017, when it was converted into a more limited property-only tax (the IFI) under the Macron government. The Commission’s study contains data that is, frankly, devastating to the proponents of the original tax.</w:t>
      </w:r>
    </w:p>
    <w:p w14:paraId="4D05414C" w14:textId="77777777" w:rsidR="00C95D95" w:rsidRDefault="00000000">
      <w:pPr>
        <w:spacing w:after="200" w:line="300" w:lineRule="auto"/>
        <w:jc w:val="both"/>
      </w:pPr>
      <w:r>
        <w:rPr>
          <w:rFonts w:ascii="Arial" w:eastAsia="Arial" w:hAnsi="Arial" w:cs="Arial"/>
          <w:color w:val="333333"/>
          <w:sz w:val="22"/>
          <w:szCs w:val="22"/>
        </w:rPr>
        <w:t xml:space="preserve">The key empirical finding from Bach et al. (2023b), reported in the Commission document: </w:t>
      </w:r>
      <w:r>
        <w:rPr>
          <w:rFonts w:ascii="Arial" w:eastAsia="Arial" w:hAnsi="Arial" w:cs="Arial"/>
          <w:b/>
          <w:bCs/>
          <w:color w:val="333333"/>
          <w:sz w:val="22"/>
          <w:szCs w:val="22"/>
        </w:rPr>
        <w:t>the effective ISF tax rate paid by the wealthiest 0.001% of households was 0.1% — against a marginal rate of 1.5%. The wealthy paid one-fifteenth of the headline rate.</w:t>
      </w:r>
      <w:r>
        <w:rPr>
          <w:rFonts w:ascii="Arial" w:eastAsia="Arial" w:hAnsi="Arial" w:cs="Arial"/>
          <w:color w:val="333333"/>
          <w:sz w:val="22"/>
          <w:szCs w:val="22"/>
        </w:rPr>
        <w:t xml:space="preserve"> The income tax rates of households at the top of the distribution became regressive, falling from 46% for the richest 0.1% to 26% for the richest 0.0002%. This was the result of two features: the tax cap (plafonnement) limited combined wealth and income tax to a percentage of annual income, and professional/business assets were exempt. The wealthy structured their affairs around these provisions.</w:t>
      </w:r>
    </w:p>
    <w:p w14:paraId="5DA6D979" w14:textId="77777777" w:rsidR="00C95D95" w:rsidRDefault="00000000">
      <w:pPr>
        <w:spacing w:after="200" w:line="300" w:lineRule="auto"/>
        <w:jc w:val="both"/>
      </w:pPr>
      <w:r>
        <w:rPr>
          <w:rFonts w:ascii="Arial" w:eastAsia="Arial" w:hAnsi="Arial" w:cs="Arial"/>
          <w:color w:val="333333"/>
          <w:sz w:val="22"/>
          <w:szCs w:val="22"/>
        </w:rPr>
        <w:t>Garbinti et al. (2024) found that 35% of wealth taxpayers were missing from the affected bracket after a 2011 reform created an information discontinuity at €3 million, evading 10% of total wealth tax payments per year. Underreporting was concentrated in assets — particularly real estate — where third-party verification was difficult.</w:t>
      </w:r>
    </w:p>
    <w:p w14:paraId="64F1E121" w14:textId="77777777" w:rsidR="00C95D95" w:rsidRDefault="00000000">
      <w:pPr>
        <w:spacing w:after="200" w:line="300" w:lineRule="auto"/>
        <w:jc w:val="both"/>
      </w:pPr>
      <w:r>
        <w:rPr>
          <w:rFonts w:ascii="Arial" w:eastAsia="Arial" w:hAnsi="Arial" w:cs="Arial"/>
          <w:color w:val="333333"/>
          <w:sz w:val="22"/>
          <w:szCs w:val="22"/>
        </w:rPr>
        <w:t>The Commission’s study notes that despite the abolition of the ISF, French public support for a wealth tax remains strong (three in four French respondents favor taxing very large estates), and the recent National Assembly vote in favor of a 2% wealth tax on net wealth above €100 million — Gabriel Zucman’s proposal — reflects active political momentum to reintroduce a wealth tax in a form designed to avoid the flaws of the original. The proposal failed at the Senate but, per the document, will likely be the starting point for upcoming negotiations.</w:t>
      </w:r>
    </w:p>
    <w:p w14:paraId="2E569797" w14:textId="77777777" w:rsidR="00C95D95" w:rsidRDefault="00000000">
      <w:pPr>
        <w:pBdr>
          <w:bottom w:val="single" w:sz="6" w:space="4" w:color="C5993E"/>
        </w:pBdr>
        <w:spacing w:before="360" w:after="200"/>
      </w:pPr>
      <w:r>
        <w:rPr>
          <w:rFonts w:ascii="Arial" w:eastAsia="Arial" w:hAnsi="Arial" w:cs="Arial"/>
          <w:b/>
          <w:bCs/>
          <w:color w:val="0F1A2E"/>
          <w:sz w:val="30"/>
          <w:szCs w:val="30"/>
        </w:rPr>
        <w:t>The Survivors: Spain, Norway, Switzerland</w:t>
      </w:r>
    </w:p>
    <w:p w14:paraId="4B024536" w14:textId="77777777" w:rsidR="00C95D95" w:rsidRDefault="00000000">
      <w:pPr>
        <w:spacing w:after="200" w:line="300" w:lineRule="auto"/>
        <w:jc w:val="both"/>
      </w:pPr>
      <w:r>
        <w:rPr>
          <w:rFonts w:ascii="Arial" w:eastAsia="Arial" w:hAnsi="Arial" w:cs="Arial"/>
          <w:color w:val="333333"/>
          <w:sz w:val="22"/>
          <w:szCs w:val="22"/>
        </w:rPr>
        <w:t>The three jurisdictions that retained wealth taxes — Spain, Norway, and Switzerland — provide the working models for what a modern wealth tax actually looks like. Each is studied in detail in the Commission document, and each contains design features that are likely to be copied or adapted in jurisdictions reintroducing wealth taxation.</w:t>
      </w:r>
    </w:p>
    <w:p w14:paraId="3125FBCA" w14:textId="77777777" w:rsidR="00C95D95" w:rsidRDefault="00000000">
      <w:pPr>
        <w:spacing w:before="200" w:after="100"/>
      </w:pPr>
      <w:r>
        <w:rPr>
          <w:rFonts w:ascii="Arial" w:eastAsia="Arial" w:hAnsi="Arial" w:cs="Arial"/>
          <w:b/>
          <w:bCs/>
          <w:i/>
          <w:iCs/>
          <w:color w:val="0F1A2E"/>
          <w:sz w:val="22"/>
          <w:szCs w:val="22"/>
        </w:rPr>
        <w:t>Spain: The Anti-Competition Architecture</w:t>
      </w:r>
    </w:p>
    <w:p w14:paraId="19393FB0" w14:textId="77777777" w:rsidR="00C95D95" w:rsidRDefault="00000000">
      <w:pPr>
        <w:spacing w:after="200" w:line="300" w:lineRule="auto"/>
        <w:jc w:val="both"/>
      </w:pPr>
      <w:r>
        <w:rPr>
          <w:rFonts w:ascii="Arial" w:eastAsia="Arial" w:hAnsi="Arial" w:cs="Arial"/>
          <w:color w:val="333333"/>
          <w:sz w:val="22"/>
          <w:szCs w:val="22"/>
        </w:rPr>
        <w:t>Spain’s wealth tax has progressive rates from 0.2% to 3.5% above a €700,000 threshold, with regional governments empowered to modify it. When Madrid applied a 100% tax credit (effectively zero tax) and Andalucía followed in 2022, the central government enacted the Temporary Solidarity Tax on Large Fortunes (TSTLF) in December 2022. The TSTLF applies above €3 million, mirrors the wealth tax framework, and offers a credit for any wealth tax already paid. The practical effect: residents of regions with reduced or eliminated wealth taxes pay the difference to the central government instead. The Constitutional Court upheld the tax in Ruling 149/2023.</w:t>
      </w:r>
    </w:p>
    <w:p w14:paraId="444D0B78" w14:textId="77777777" w:rsidR="00C95D95" w:rsidRDefault="00000000">
      <w:pPr>
        <w:spacing w:after="200" w:line="300" w:lineRule="auto"/>
        <w:jc w:val="both"/>
      </w:pPr>
      <w:r>
        <w:rPr>
          <w:rFonts w:ascii="Arial" w:eastAsia="Arial" w:hAnsi="Arial" w:cs="Arial"/>
          <w:color w:val="333333"/>
          <w:sz w:val="22"/>
          <w:szCs w:val="22"/>
        </w:rPr>
        <w:lastRenderedPageBreak/>
        <w:t xml:space="preserve">The architecture is the model that should concern anyone relying on jurisdictional arbitrage within the EU. </w:t>
      </w:r>
      <w:r>
        <w:rPr>
          <w:rFonts w:ascii="Arial" w:eastAsia="Arial" w:hAnsi="Arial" w:cs="Arial"/>
          <w:b/>
          <w:bCs/>
          <w:color w:val="333333"/>
          <w:sz w:val="22"/>
          <w:szCs w:val="22"/>
        </w:rPr>
        <w:t>The TSTLF demonstrates that a determined central authority can override sub-national tax competition with a relatively simple legal instrument.</w:t>
      </w:r>
      <w:r>
        <w:rPr>
          <w:rFonts w:ascii="Arial" w:eastAsia="Arial" w:hAnsi="Arial" w:cs="Arial"/>
          <w:color w:val="333333"/>
          <w:sz w:val="22"/>
          <w:szCs w:val="22"/>
        </w:rPr>
        <w:t xml:space="preserve"> The same logic at the EU level — an EU-administered minimum wealth tax that credits taxes paid to member states — is technically straightforward and politically increasingly thinkable. The Zucman 2% billionaire proposal is precisely this architecture, scaled to the international level.</w:t>
      </w:r>
    </w:p>
    <w:p w14:paraId="5ABDCDD6" w14:textId="77777777" w:rsidR="00C95D95" w:rsidRDefault="00000000">
      <w:pPr>
        <w:spacing w:after="200" w:line="300" w:lineRule="auto"/>
        <w:jc w:val="both"/>
      </w:pPr>
      <w:r>
        <w:rPr>
          <w:rFonts w:ascii="Arial" w:eastAsia="Arial" w:hAnsi="Arial" w:cs="Arial"/>
          <w:color w:val="333333"/>
          <w:sz w:val="22"/>
          <w:szCs w:val="22"/>
        </w:rPr>
        <w:t>Spain also introduced an exit tax for individuals transferring tax residence abroad. The document notes that Agrawal et al. (2025) found a 7.5% increase in wealthy residents in Madrid and a 1.7% decrease in other regions over six years — a strong revealed-preference signal that wealthy taxpayers respond to wealth tax differentials. The TSTLF was the policy response.</w:t>
      </w:r>
    </w:p>
    <w:p w14:paraId="3E8E8361" w14:textId="77777777" w:rsidR="00C95D95" w:rsidRDefault="00000000">
      <w:pPr>
        <w:spacing w:before="200" w:after="100"/>
      </w:pPr>
      <w:r>
        <w:rPr>
          <w:rFonts w:ascii="Arial" w:eastAsia="Arial" w:hAnsi="Arial" w:cs="Arial"/>
          <w:b/>
          <w:bCs/>
          <w:i/>
          <w:iCs/>
          <w:color w:val="0F1A2E"/>
          <w:sz w:val="22"/>
          <w:szCs w:val="22"/>
        </w:rPr>
        <w:t>Norway: Comprehensive Enforcement</w:t>
      </w:r>
    </w:p>
    <w:p w14:paraId="7C52E4A5" w14:textId="77777777" w:rsidR="00C95D95" w:rsidRDefault="00000000">
      <w:pPr>
        <w:spacing w:after="200" w:line="300" w:lineRule="auto"/>
        <w:jc w:val="both"/>
      </w:pPr>
      <w:r>
        <w:rPr>
          <w:rFonts w:ascii="Arial" w:eastAsia="Arial" w:hAnsi="Arial" w:cs="Arial"/>
          <w:color w:val="333333"/>
          <w:sz w:val="22"/>
          <w:szCs w:val="22"/>
        </w:rPr>
        <w:t>Norway has had a wealth tax since 1892 and demonstrates what a fully enforced regime looks like. Tax rates aggregate to 1% above NOK 1.76 million and 1.1% above NOK 20.7 million. The taxable base includes worldwide assets. Third-party reporting covers most financial assets. Tax filings are made public — a feature the document explicitly identifies as supporting compliance through reputational pressure.</w:t>
      </w:r>
    </w:p>
    <w:p w14:paraId="131A87ED" w14:textId="77777777" w:rsidR="00C95D95" w:rsidRDefault="00000000">
      <w:pPr>
        <w:spacing w:after="200" w:line="300" w:lineRule="auto"/>
        <w:jc w:val="both"/>
      </w:pPr>
      <w:r>
        <w:rPr>
          <w:rFonts w:ascii="Arial" w:eastAsia="Arial" w:hAnsi="Arial" w:cs="Arial"/>
          <w:color w:val="333333"/>
          <w:sz w:val="22"/>
          <w:szCs w:val="22"/>
        </w:rPr>
        <w:t>The Norwegian exit tax was tightened in 2025: the period over which the tax can be paid was reduced to twelve years. The exit tax applies to shares in Norwegian or foreign companies, securities, investment funds, and wealth management funds, and is calculated as the gain that would have been taxable had the assets been sold the day before tax residence ceased. Wealthy Norwegians have been emigrating to Switzerland in notable numbers — a fact widely reported in the international press and acknowledged in the document — but the exit tax friction is now substantial enough that the calculation has changed.</w:t>
      </w:r>
    </w:p>
    <w:p w14:paraId="7BDD5DD8" w14:textId="77777777" w:rsidR="00C95D95" w:rsidRDefault="00000000">
      <w:pPr>
        <w:spacing w:after="200" w:line="300" w:lineRule="auto"/>
        <w:jc w:val="both"/>
      </w:pPr>
      <w:r>
        <w:rPr>
          <w:rFonts w:ascii="Arial" w:eastAsia="Arial" w:hAnsi="Arial" w:cs="Arial"/>
          <w:color w:val="333333"/>
          <w:sz w:val="22"/>
          <w:szCs w:val="22"/>
        </w:rPr>
        <w:t>The Norwegian tax generates 0.4–0.6% of GDP and represents a non-trivial share of total tax revenue. Empirical studies cited in the document find limited adverse effects on investment, partly because productive capital is valued at a discount and intangibles are excluded. The redistributive effect is modest in any single year but compounds over decades.</w:t>
      </w:r>
    </w:p>
    <w:p w14:paraId="766623FF" w14:textId="77777777" w:rsidR="00C95D95" w:rsidRDefault="00000000">
      <w:pPr>
        <w:spacing w:before="200" w:after="100"/>
      </w:pPr>
      <w:r>
        <w:rPr>
          <w:rFonts w:ascii="Arial" w:eastAsia="Arial" w:hAnsi="Arial" w:cs="Arial"/>
          <w:b/>
          <w:bCs/>
          <w:i/>
          <w:iCs/>
          <w:color w:val="0F1A2E"/>
          <w:sz w:val="22"/>
          <w:szCs w:val="22"/>
        </w:rPr>
        <w:t>Switzerland: The Cantonal Laboratory</w:t>
      </w:r>
    </w:p>
    <w:p w14:paraId="477FE97E" w14:textId="77777777" w:rsidR="00C95D95" w:rsidRDefault="00000000">
      <w:pPr>
        <w:spacing w:after="200" w:line="300" w:lineRule="auto"/>
        <w:jc w:val="both"/>
      </w:pPr>
      <w:r>
        <w:rPr>
          <w:rFonts w:ascii="Arial" w:eastAsia="Arial" w:hAnsi="Arial" w:cs="Arial"/>
          <w:color w:val="333333"/>
          <w:sz w:val="22"/>
          <w:szCs w:val="22"/>
        </w:rPr>
        <w:t>Switzerland’s net wealth tax is administered at the cantonal level with rates and thresholds varying significantly by canton. The Commission document contains particularly important empirical findings from Brülhart et al. (2022): a one-percentage-point cut in the top wealth tax rate raises reported wealth by 43%. This is a very large behavioral response — but the breakdown is illuminating. The 43% breaks down into 49% increase in financial assets of immobile taxpayers, 24% from net taxpayer migration, 21% from rising housing prices, and only 6% from increased savings.</w:t>
      </w:r>
    </w:p>
    <w:p w14:paraId="112D6A5B" w14:textId="77777777" w:rsidR="00C95D95" w:rsidRDefault="00000000">
      <w:pPr>
        <w:spacing w:after="200" w:line="300" w:lineRule="auto"/>
        <w:jc w:val="both"/>
      </w:pPr>
      <w:r>
        <w:rPr>
          <w:rFonts w:ascii="Arial" w:eastAsia="Arial" w:hAnsi="Arial" w:cs="Arial"/>
          <w:color w:val="333333"/>
          <w:sz w:val="22"/>
          <w:szCs w:val="22"/>
        </w:rPr>
        <w:lastRenderedPageBreak/>
        <w:t xml:space="preserve">The interpretation matters: </w:t>
      </w:r>
      <w:r>
        <w:rPr>
          <w:rFonts w:ascii="Arial" w:eastAsia="Arial" w:hAnsi="Arial" w:cs="Arial"/>
          <w:b/>
          <w:bCs/>
          <w:color w:val="333333"/>
          <w:sz w:val="22"/>
          <w:szCs w:val="22"/>
        </w:rPr>
        <w:t>most of the response is reallocation and reporting behavior, not real economic change.</w:t>
      </w:r>
      <w:r>
        <w:rPr>
          <w:rFonts w:ascii="Arial" w:eastAsia="Arial" w:hAnsi="Arial" w:cs="Arial"/>
          <w:color w:val="333333"/>
          <w:sz w:val="22"/>
          <w:szCs w:val="22"/>
        </w:rPr>
        <w:t xml:space="preserve"> This finding is double-edged. It suggests wealth taxes are highly distortionary in terms of reported numbers but less so in terms of actual economic activity. It also suggests that jurisdictions with comprehensive third-party reporting and limited valuation discretion (which Switzerland does not have for all assets) would observe smaller responses — meaning wealth taxes in those jurisdictions would generate more revenue but would also represent a larger real burden on the wealthy.</w:t>
      </w:r>
    </w:p>
    <w:p w14:paraId="1655E7E6" w14:textId="77777777" w:rsidR="00C95D95" w:rsidRDefault="00000000">
      <w:pPr>
        <w:spacing w:after="200" w:line="300" w:lineRule="auto"/>
        <w:jc w:val="both"/>
      </w:pPr>
      <w:r>
        <w:rPr>
          <w:rFonts w:ascii="Arial" w:eastAsia="Arial" w:hAnsi="Arial" w:cs="Arial"/>
          <w:color w:val="333333"/>
          <w:sz w:val="22"/>
          <w:szCs w:val="22"/>
        </w:rPr>
        <w:t>Switzerland’s expenditure-based (lump-sum) taxation regime for wealthy non-citizens is also examined. Cantons that repealed the regime saw a 43% drop in their stock of super-rich foreigners. The mobility elasticity is between 28.4 and 32.2 — extremely high — indicating that for the very wealthy, jurisdictional choice is highly responsive to tax design. Switzerland remains one of the few European jurisdictions where this kind of bespoke arrangement is available.</w:t>
      </w:r>
    </w:p>
    <w:p w14:paraId="78AE16ED" w14:textId="77777777" w:rsidR="00C95D95" w:rsidRDefault="00000000">
      <w:pPr>
        <w:pBdr>
          <w:bottom w:val="single" w:sz="8" w:space="6" w:color="C5993E"/>
        </w:pBdr>
        <w:spacing w:before="480" w:after="240"/>
      </w:pPr>
      <w:r>
        <w:rPr>
          <w:rFonts w:ascii="Arial" w:eastAsia="Arial" w:hAnsi="Arial" w:cs="Arial"/>
          <w:b/>
          <w:bCs/>
          <w:color w:val="0F1A2E"/>
          <w:sz w:val="36"/>
          <w:szCs w:val="36"/>
        </w:rPr>
        <w:t>Part II: Specific Threats to EU Citizens</w:t>
      </w:r>
    </w:p>
    <w:p w14:paraId="49B28107" w14:textId="77777777" w:rsidR="00C95D95" w:rsidRDefault="00000000">
      <w:pPr>
        <w:spacing w:after="200" w:line="300" w:lineRule="auto"/>
        <w:jc w:val="both"/>
      </w:pPr>
      <w:r>
        <w:rPr>
          <w:rFonts w:ascii="Arial" w:eastAsia="Arial" w:hAnsi="Arial" w:cs="Arial"/>
          <w:color w:val="333333"/>
          <w:sz w:val="22"/>
          <w:szCs w:val="22"/>
        </w:rPr>
        <w:t>The Commission’s study, read as a strategic document, identifies a clear trajectory. This section translates that trajectory into specific exposures faced by EU citizens with wealth, businesses, or international ties.</w:t>
      </w:r>
    </w:p>
    <w:p w14:paraId="600CB7D7" w14:textId="77777777" w:rsidR="00C95D95" w:rsidRDefault="00000000">
      <w:pPr>
        <w:pBdr>
          <w:bottom w:val="single" w:sz="6" w:space="4" w:color="C5993E"/>
        </w:pBdr>
        <w:spacing w:before="360" w:after="200"/>
      </w:pPr>
      <w:r>
        <w:rPr>
          <w:rFonts w:ascii="Arial" w:eastAsia="Arial" w:hAnsi="Arial" w:cs="Arial"/>
          <w:b/>
          <w:bCs/>
          <w:color w:val="0F1A2E"/>
          <w:sz w:val="30"/>
          <w:szCs w:val="30"/>
        </w:rPr>
        <w:t>Threat 1: Reintroduction of National Wealth Taxes</w:t>
      </w:r>
    </w:p>
    <w:p w14:paraId="62F5AC30" w14:textId="77777777" w:rsidR="00C95D95" w:rsidRDefault="00000000">
      <w:pPr>
        <w:spacing w:after="200" w:line="300" w:lineRule="auto"/>
        <w:jc w:val="both"/>
      </w:pPr>
      <w:r>
        <w:rPr>
          <w:rFonts w:ascii="Arial" w:eastAsia="Arial" w:hAnsi="Arial" w:cs="Arial"/>
          <w:color w:val="333333"/>
          <w:sz w:val="22"/>
          <w:szCs w:val="22"/>
        </w:rPr>
        <w:t>The most direct threat is the reintroduction of national wealth taxes in EU member states that previously repealed them. The political conditions for this are present in several jurisdictions:</w:t>
      </w:r>
    </w:p>
    <w:tbl>
      <w:tblPr>
        <w:tblW w:w="936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left w:w="10" w:type="dxa"/>
          <w:right w:w="10" w:type="dxa"/>
        </w:tblCellMar>
        <w:tblLook w:val="04A0" w:firstRow="1" w:lastRow="0" w:firstColumn="1" w:lastColumn="0" w:noHBand="0" w:noVBand="1"/>
      </w:tblPr>
      <w:tblGrid>
        <w:gridCol w:w="2400"/>
        <w:gridCol w:w="2400"/>
        <w:gridCol w:w="4560"/>
      </w:tblGrid>
      <w:tr w:rsidR="00C95D95" w14:paraId="49C08F24" w14:textId="77777777">
        <w:tblPrEx>
          <w:tblCellMar>
            <w:top w:w="0" w:type="dxa"/>
            <w:bottom w:w="0" w:type="dxa"/>
          </w:tblCellMar>
        </w:tblPrEx>
        <w:trPr>
          <w:tblHeader/>
        </w:trPr>
        <w:tc>
          <w:tcPr>
            <w:tcW w:w="240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05DB9BA9" w14:textId="77777777" w:rsidR="00C95D95" w:rsidRDefault="00000000">
            <w:r>
              <w:rPr>
                <w:rFonts w:ascii="Arial" w:eastAsia="Arial" w:hAnsi="Arial" w:cs="Arial"/>
                <w:b/>
                <w:bCs/>
                <w:color w:val="FFFFFF"/>
                <w:sz w:val="22"/>
                <w:szCs w:val="22"/>
              </w:rPr>
              <w:t>Jurisdiction</w:t>
            </w:r>
          </w:p>
        </w:tc>
        <w:tc>
          <w:tcPr>
            <w:tcW w:w="240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54EF5D4A" w14:textId="77777777" w:rsidR="00C95D95" w:rsidRDefault="00000000">
            <w:pPr>
              <w:jc w:val="center"/>
            </w:pPr>
            <w:r>
              <w:rPr>
                <w:rFonts w:ascii="Arial" w:eastAsia="Arial" w:hAnsi="Arial" w:cs="Arial"/>
                <w:b/>
                <w:bCs/>
                <w:color w:val="C5993E"/>
                <w:sz w:val="22"/>
                <w:szCs w:val="22"/>
              </w:rPr>
              <w:t>Reintroduction Probability</w:t>
            </w:r>
          </w:p>
        </w:tc>
        <w:tc>
          <w:tcPr>
            <w:tcW w:w="456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7DDAB0E0" w14:textId="77777777" w:rsidR="00C95D95" w:rsidRDefault="00000000">
            <w:r>
              <w:rPr>
                <w:rFonts w:ascii="Arial" w:eastAsia="Arial" w:hAnsi="Arial" w:cs="Arial"/>
                <w:b/>
                <w:bCs/>
                <w:color w:val="FFFFFF"/>
                <w:sz w:val="22"/>
                <w:szCs w:val="22"/>
              </w:rPr>
              <w:t>Key Factors</w:t>
            </w:r>
          </w:p>
        </w:tc>
      </w:tr>
      <w:tr w:rsidR="00C95D95" w14:paraId="56D8EA50"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7B402507" w14:textId="77777777" w:rsidR="00C95D95" w:rsidRDefault="00000000">
            <w:r>
              <w:rPr>
                <w:rFonts w:ascii="Arial" w:eastAsia="Arial" w:hAnsi="Arial" w:cs="Arial"/>
                <w:b/>
                <w:bCs/>
                <w:color w:val="0F1A2E"/>
                <w:sz w:val="22"/>
                <w:szCs w:val="22"/>
              </w:rPr>
              <w:t>France</w:t>
            </w:r>
          </w:p>
        </w:tc>
        <w:tc>
          <w:tcPr>
            <w:tcW w:w="2400" w:type="dxa"/>
            <w:tcBorders>
              <w:top w:val="single" w:sz="4" w:space="0" w:color="DDDDDD"/>
              <w:left w:val="single" w:sz="4" w:space="0" w:color="DDDDDD"/>
              <w:bottom w:val="single" w:sz="4" w:space="0" w:color="DDDDDD"/>
              <w:right w:val="single" w:sz="4" w:space="0" w:color="DDDDDD"/>
            </w:tcBorders>
            <w:shd w:val="clear" w:color="auto" w:fill="F4CCCC"/>
            <w:tcMar>
              <w:top w:w="120" w:type="dxa"/>
              <w:left w:w="160" w:type="dxa"/>
              <w:bottom w:w="120" w:type="dxa"/>
              <w:right w:w="160" w:type="dxa"/>
            </w:tcMar>
            <w:vAlign w:val="center"/>
          </w:tcPr>
          <w:p w14:paraId="66D96C49" w14:textId="77777777" w:rsidR="00C95D95" w:rsidRDefault="00000000">
            <w:pPr>
              <w:jc w:val="center"/>
            </w:pPr>
            <w:r>
              <w:rPr>
                <w:rFonts w:ascii="Arial" w:eastAsia="Arial" w:hAnsi="Arial" w:cs="Arial"/>
                <w:b/>
                <w:bCs/>
                <w:color w:val="8B1A1A"/>
                <w:sz w:val="22"/>
                <w:szCs w:val="22"/>
              </w:rPr>
              <w:t>High (medium-term)</w:t>
            </w:r>
          </w:p>
        </w:tc>
        <w:tc>
          <w:tcPr>
            <w:tcW w:w="45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3E1C1831" w14:textId="77777777" w:rsidR="00C95D95" w:rsidRDefault="00000000">
            <w:r>
              <w:rPr>
                <w:rFonts w:ascii="Arial" w:eastAsia="Arial" w:hAnsi="Arial" w:cs="Arial"/>
                <w:color w:val="333333"/>
                <w:sz w:val="22"/>
                <w:szCs w:val="22"/>
              </w:rPr>
              <w:t>National Assembly already voted for 2% billionaire tax; rejected by Senate but politically active. Ongoing debate around minimum effective tax for ultra-rich.</w:t>
            </w:r>
          </w:p>
        </w:tc>
      </w:tr>
      <w:tr w:rsidR="00C95D95" w14:paraId="6F939BE8"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5AA1E916" w14:textId="77777777" w:rsidR="00C95D95" w:rsidRDefault="00000000">
            <w:r>
              <w:rPr>
                <w:rFonts w:ascii="Arial" w:eastAsia="Arial" w:hAnsi="Arial" w:cs="Arial"/>
                <w:b/>
                <w:bCs/>
                <w:color w:val="0F1A2E"/>
                <w:sz w:val="22"/>
                <w:szCs w:val="22"/>
              </w:rPr>
              <w:t>Germany</w:t>
            </w:r>
          </w:p>
        </w:tc>
        <w:tc>
          <w:tcPr>
            <w:tcW w:w="2400" w:type="dxa"/>
            <w:tcBorders>
              <w:top w:val="single" w:sz="4" w:space="0" w:color="DDDDDD"/>
              <w:left w:val="single" w:sz="4" w:space="0" w:color="DDDDDD"/>
              <w:bottom w:val="single" w:sz="4" w:space="0" w:color="DDDDDD"/>
              <w:right w:val="single" w:sz="4" w:space="0" w:color="DDDDDD"/>
            </w:tcBorders>
            <w:shd w:val="clear" w:color="auto" w:fill="FCE4D6"/>
            <w:tcMar>
              <w:top w:w="120" w:type="dxa"/>
              <w:left w:w="160" w:type="dxa"/>
              <w:bottom w:w="120" w:type="dxa"/>
              <w:right w:w="160" w:type="dxa"/>
            </w:tcMar>
            <w:vAlign w:val="center"/>
          </w:tcPr>
          <w:p w14:paraId="1077CBA9" w14:textId="77777777" w:rsidR="00C95D95" w:rsidRDefault="00000000">
            <w:pPr>
              <w:jc w:val="center"/>
            </w:pPr>
            <w:r>
              <w:rPr>
                <w:rFonts w:ascii="Arial" w:eastAsia="Arial" w:hAnsi="Arial" w:cs="Arial"/>
                <w:b/>
                <w:bCs/>
                <w:color w:val="9C3D1C"/>
                <w:sz w:val="22"/>
                <w:szCs w:val="22"/>
              </w:rPr>
              <w:t>Medium (held by coalition politics)</w:t>
            </w:r>
          </w:p>
        </w:tc>
        <w:tc>
          <w:tcPr>
            <w:tcW w:w="45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5ECCBDA0" w14:textId="77777777" w:rsidR="00C95D95" w:rsidRDefault="00000000">
            <w:r>
              <w:rPr>
                <w:rFonts w:ascii="Arial" w:eastAsia="Arial" w:hAnsi="Arial" w:cs="Arial"/>
                <w:color w:val="333333"/>
                <w:sz w:val="22"/>
                <w:szCs w:val="22"/>
              </w:rPr>
              <w:t>SPD, Greens, Left Party all proposed in 2024 election. Currently blocked by CDU in coalition. Constitutional issues addressable via valuation reform.</w:t>
            </w:r>
          </w:p>
        </w:tc>
      </w:tr>
      <w:tr w:rsidR="00C95D95" w14:paraId="712692A2"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0CD10BFF" w14:textId="77777777" w:rsidR="00C95D95" w:rsidRDefault="00000000">
            <w:r>
              <w:rPr>
                <w:rFonts w:ascii="Arial" w:eastAsia="Arial" w:hAnsi="Arial" w:cs="Arial"/>
                <w:b/>
                <w:bCs/>
                <w:color w:val="0F1A2E"/>
                <w:sz w:val="22"/>
                <w:szCs w:val="22"/>
              </w:rPr>
              <w:t>Austria</w:t>
            </w:r>
          </w:p>
        </w:tc>
        <w:tc>
          <w:tcPr>
            <w:tcW w:w="2400" w:type="dxa"/>
            <w:tcBorders>
              <w:top w:val="single" w:sz="4" w:space="0" w:color="DDDDDD"/>
              <w:left w:val="single" w:sz="4" w:space="0" w:color="DDDDDD"/>
              <w:bottom w:val="single" w:sz="4" w:space="0" w:color="DDDDDD"/>
              <w:right w:val="single" w:sz="4" w:space="0" w:color="DDDDDD"/>
            </w:tcBorders>
            <w:shd w:val="clear" w:color="auto" w:fill="FCE4D6"/>
            <w:tcMar>
              <w:top w:w="120" w:type="dxa"/>
              <w:left w:w="160" w:type="dxa"/>
              <w:bottom w:w="120" w:type="dxa"/>
              <w:right w:w="160" w:type="dxa"/>
            </w:tcMar>
            <w:vAlign w:val="center"/>
          </w:tcPr>
          <w:p w14:paraId="4AC5DABA" w14:textId="77777777" w:rsidR="00C95D95" w:rsidRDefault="00000000">
            <w:pPr>
              <w:jc w:val="center"/>
            </w:pPr>
            <w:r>
              <w:rPr>
                <w:rFonts w:ascii="Arial" w:eastAsia="Arial" w:hAnsi="Arial" w:cs="Arial"/>
                <w:b/>
                <w:bCs/>
                <w:color w:val="9C3D1C"/>
                <w:sz w:val="22"/>
                <w:szCs w:val="22"/>
              </w:rPr>
              <w:t>Medium (politically frustrated)</w:t>
            </w:r>
          </w:p>
        </w:tc>
        <w:tc>
          <w:tcPr>
            <w:tcW w:w="45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2364E80A" w14:textId="77777777" w:rsidR="00C95D95" w:rsidRDefault="00000000">
            <w:r>
              <w:rPr>
                <w:rFonts w:ascii="Arial" w:eastAsia="Arial" w:hAnsi="Arial" w:cs="Arial"/>
                <w:color w:val="333333"/>
                <w:sz w:val="22"/>
                <w:szCs w:val="22"/>
              </w:rPr>
              <w:t xml:space="preserve">70.9% public approval. SPÖ has pushed repeatedly. Currently blocked by </w:t>
            </w:r>
            <w:r>
              <w:rPr>
                <w:rFonts w:ascii="Arial" w:eastAsia="Arial" w:hAnsi="Arial" w:cs="Arial"/>
                <w:color w:val="333333"/>
                <w:sz w:val="22"/>
                <w:szCs w:val="22"/>
              </w:rPr>
              <w:lastRenderedPageBreak/>
              <w:t>ÖVP/Neos. Constitutional barrier from Final Taxation Act remains.</w:t>
            </w:r>
          </w:p>
        </w:tc>
      </w:tr>
      <w:tr w:rsidR="00C95D95" w14:paraId="2F121E4B"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FD44A3C" w14:textId="77777777" w:rsidR="00C95D95" w:rsidRDefault="00000000">
            <w:r>
              <w:rPr>
                <w:rFonts w:ascii="Arial" w:eastAsia="Arial" w:hAnsi="Arial" w:cs="Arial"/>
                <w:b/>
                <w:bCs/>
                <w:color w:val="0F1A2E"/>
                <w:sz w:val="22"/>
                <w:szCs w:val="22"/>
              </w:rPr>
              <w:lastRenderedPageBreak/>
              <w:t>Italy, Belgium, Netherlands, Portugal</w:t>
            </w:r>
          </w:p>
        </w:tc>
        <w:tc>
          <w:tcPr>
            <w:tcW w:w="2400" w:type="dxa"/>
            <w:tcBorders>
              <w:top w:val="single" w:sz="4" w:space="0" w:color="DDDDDD"/>
              <w:left w:val="single" w:sz="4" w:space="0" w:color="DDDDDD"/>
              <w:bottom w:val="single" w:sz="4" w:space="0" w:color="DDDDDD"/>
              <w:right w:val="single" w:sz="4" w:space="0" w:color="DDDDDD"/>
            </w:tcBorders>
            <w:shd w:val="clear" w:color="auto" w:fill="FFF2CC"/>
            <w:tcMar>
              <w:top w:w="120" w:type="dxa"/>
              <w:left w:w="160" w:type="dxa"/>
              <w:bottom w:w="120" w:type="dxa"/>
              <w:right w:w="160" w:type="dxa"/>
            </w:tcMar>
            <w:vAlign w:val="center"/>
          </w:tcPr>
          <w:p w14:paraId="3E30C387" w14:textId="77777777" w:rsidR="00C95D95" w:rsidRDefault="00000000">
            <w:pPr>
              <w:jc w:val="center"/>
            </w:pPr>
            <w:r>
              <w:rPr>
                <w:rFonts w:ascii="Arial" w:eastAsia="Arial" w:hAnsi="Arial" w:cs="Arial"/>
                <w:b/>
                <w:bCs/>
                <w:color w:val="8B6914"/>
                <w:sz w:val="22"/>
                <w:szCs w:val="22"/>
              </w:rPr>
              <w:t>Variable</w:t>
            </w:r>
          </w:p>
        </w:tc>
        <w:tc>
          <w:tcPr>
            <w:tcW w:w="45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FC9E2E3" w14:textId="77777777" w:rsidR="00C95D95" w:rsidRDefault="00000000">
            <w:r>
              <w:rPr>
                <w:rFonts w:ascii="Arial" w:eastAsia="Arial" w:hAnsi="Arial" w:cs="Arial"/>
                <w:color w:val="333333"/>
                <w:sz w:val="22"/>
                <w:szCs w:val="22"/>
              </w:rPr>
              <w:t>Not covered in detail in Commission study but all face similar fiscal pressures and political dynamics. Wealth tax discussions ongoing in each.</w:t>
            </w:r>
          </w:p>
        </w:tc>
      </w:tr>
      <w:tr w:rsidR="00C95D95" w14:paraId="6A31F075"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520F870" w14:textId="77777777" w:rsidR="00C95D95" w:rsidRDefault="00000000">
            <w:r>
              <w:rPr>
                <w:rFonts w:ascii="Arial" w:eastAsia="Arial" w:hAnsi="Arial" w:cs="Arial"/>
                <w:b/>
                <w:bCs/>
                <w:color w:val="0F1A2E"/>
                <w:sz w:val="22"/>
                <w:szCs w:val="22"/>
              </w:rPr>
              <w:t>Spain</w:t>
            </w:r>
          </w:p>
        </w:tc>
        <w:tc>
          <w:tcPr>
            <w:tcW w:w="2400" w:type="dxa"/>
            <w:tcBorders>
              <w:top w:val="single" w:sz="4" w:space="0" w:color="DDDDDD"/>
              <w:left w:val="single" w:sz="4" w:space="0" w:color="DDDDDD"/>
              <w:bottom w:val="single" w:sz="4" w:space="0" w:color="DDDDDD"/>
              <w:right w:val="single" w:sz="4" w:space="0" w:color="DDDDDD"/>
            </w:tcBorders>
            <w:shd w:val="clear" w:color="auto" w:fill="F4CCCC"/>
            <w:tcMar>
              <w:top w:w="120" w:type="dxa"/>
              <w:left w:w="160" w:type="dxa"/>
              <w:bottom w:w="120" w:type="dxa"/>
              <w:right w:w="160" w:type="dxa"/>
            </w:tcMar>
            <w:vAlign w:val="center"/>
          </w:tcPr>
          <w:p w14:paraId="3CE7CEAF" w14:textId="77777777" w:rsidR="00C95D95" w:rsidRDefault="00000000">
            <w:pPr>
              <w:jc w:val="center"/>
            </w:pPr>
            <w:r>
              <w:rPr>
                <w:rFonts w:ascii="Arial" w:eastAsia="Arial" w:hAnsi="Arial" w:cs="Arial"/>
                <w:b/>
                <w:bCs/>
                <w:color w:val="8B1A1A"/>
                <w:sz w:val="22"/>
                <w:szCs w:val="22"/>
              </w:rPr>
              <w:t>Already in force, expanding</w:t>
            </w:r>
          </w:p>
        </w:tc>
        <w:tc>
          <w:tcPr>
            <w:tcW w:w="45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23F0DBEE" w14:textId="77777777" w:rsidR="00C95D95" w:rsidRDefault="00000000">
            <w:r>
              <w:rPr>
                <w:rFonts w:ascii="Arial" w:eastAsia="Arial" w:hAnsi="Arial" w:cs="Arial"/>
                <w:color w:val="333333"/>
                <w:sz w:val="22"/>
                <w:szCs w:val="22"/>
              </w:rPr>
              <w:t>TSTLF made permanent in 2023. Architecture demonstrates anti-competition design.</w:t>
            </w:r>
          </w:p>
        </w:tc>
      </w:tr>
    </w:tbl>
    <w:p w14:paraId="18E29EC9" w14:textId="77777777" w:rsidR="00C95D95" w:rsidRDefault="00C95D95">
      <w:pPr>
        <w:spacing w:after="240"/>
      </w:pPr>
    </w:p>
    <w:p w14:paraId="48F2362C" w14:textId="77777777" w:rsidR="00C95D95" w:rsidRDefault="00000000">
      <w:pPr>
        <w:spacing w:after="200" w:line="300" w:lineRule="auto"/>
        <w:jc w:val="both"/>
      </w:pPr>
      <w:r>
        <w:rPr>
          <w:rFonts w:ascii="Arial" w:eastAsia="Arial" w:hAnsi="Arial" w:cs="Arial"/>
          <w:color w:val="333333"/>
          <w:sz w:val="22"/>
          <w:szCs w:val="22"/>
        </w:rPr>
        <w:t>The 2024 academic simulation by Heck et al., cited in the Austrian case study, projects that an Austrian wealth tax with progressive rates of 0.5% (above €1 million), 1% (above €10 million), and 2% (above €50 million) would generate €6.1 billion to €6.8 billion — more than three times the revenue of the previously failed tax. Similar simulations exist for Germany. The technical case for reintroduction has been made; the political case is being built.</w:t>
      </w:r>
    </w:p>
    <w:p w14:paraId="0F1515D2" w14:textId="77777777" w:rsidR="00C95D95" w:rsidRDefault="00000000">
      <w:pPr>
        <w:pBdr>
          <w:bottom w:val="single" w:sz="6" w:space="4" w:color="C5993E"/>
        </w:pBdr>
        <w:spacing w:before="360" w:after="200"/>
      </w:pPr>
      <w:r>
        <w:rPr>
          <w:rFonts w:ascii="Arial" w:eastAsia="Arial" w:hAnsi="Arial" w:cs="Arial"/>
          <w:b/>
          <w:bCs/>
          <w:color w:val="0F1A2E"/>
          <w:sz w:val="30"/>
          <w:szCs w:val="30"/>
        </w:rPr>
        <w:t>Threat 2: EU-Level Coordination</w:t>
      </w:r>
    </w:p>
    <w:p w14:paraId="36F2D8FB" w14:textId="77777777" w:rsidR="00C95D95" w:rsidRDefault="00000000">
      <w:pPr>
        <w:spacing w:after="200" w:line="300" w:lineRule="auto"/>
        <w:jc w:val="both"/>
      </w:pPr>
      <w:r>
        <w:rPr>
          <w:rFonts w:ascii="Arial" w:eastAsia="Arial" w:hAnsi="Arial" w:cs="Arial"/>
          <w:color w:val="333333"/>
          <w:sz w:val="22"/>
          <w:szCs w:val="22"/>
        </w:rPr>
        <w:t>More dangerous than national reintroduction is the prospect of EU-level coordination. Three vectors are visible:</w:t>
      </w:r>
    </w:p>
    <w:p w14:paraId="1D7AD7CC" w14:textId="77777777" w:rsidR="00C95D95" w:rsidRDefault="00000000">
      <w:pPr>
        <w:spacing w:after="200" w:line="300" w:lineRule="auto"/>
        <w:jc w:val="both"/>
      </w:pPr>
      <w:r>
        <w:rPr>
          <w:rFonts w:ascii="Arial" w:eastAsia="Arial" w:hAnsi="Arial" w:cs="Arial"/>
          <w:color w:val="333333"/>
          <w:sz w:val="22"/>
          <w:szCs w:val="22"/>
        </w:rPr>
        <w:t>First, the Zucman proposal for a 2% minimum effective tax on ultra-high-net-worth individuals, which originated in academic work funded in part by the EU Tax Observatory and is now being discussed at the G20 level. The Commission’s study cites this proposal approvingly in the France chapter. The architecture mirrors Spain’s TSTLF: a coordinated minimum that credits taxes already paid, defeating intra-jurisdictional competition.</w:t>
      </w:r>
    </w:p>
    <w:p w14:paraId="0CB572F2" w14:textId="77777777" w:rsidR="00C95D95" w:rsidRDefault="00000000">
      <w:pPr>
        <w:spacing w:after="200" w:line="300" w:lineRule="auto"/>
        <w:jc w:val="both"/>
      </w:pPr>
      <w:r>
        <w:rPr>
          <w:rFonts w:ascii="Arial" w:eastAsia="Arial" w:hAnsi="Arial" w:cs="Arial"/>
          <w:color w:val="333333"/>
          <w:sz w:val="22"/>
          <w:szCs w:val="22"/>
        </w:rPr>
        <w:t>Second, the broader EU tax harmonization agenda. The Spanish case study explicitly cites “preventing a race to the bottom” as the motivation for the TSTLF. The same logic applied at the EU level would justify a directive coordinating minimum wealth taxation across member states. The legal basis exists; the political will is being built.</w:t>
      </w:r>
    </w:p>
    <w:p w14:paraId="28076C7B" w14:textId="77777777" w:rsidR="00C95D95" w:rsidRDefault="00000000">
      <w:pPr>
        <w:spacing w:after="200" w:line="300" w:lineRule="auto"/>
        <w:jc w:val="both"/>
      </w:pPr>
      <w:r>
        <w:rPr>
          <w:rFonts w:ascii="Arial" w:eastAsia="Arial" w:hAnsi="Arial" w:cs="Arial"/>
          <w:color w:val="333333"/>
          <w:sz w:val="22"/>
          <w:szCs w:val="22"/>
        </w:rPr>
        <w:t>Third, the expansion of existing transparency infrastructure. The Common Reporting Standard, beneficial ownership registries (DAC8, DAC9), and the proposed taxation of cryptocurrencies under DAC8 collectively close the remaining gaps in cross-border financial visibility. Each successive directive narrows the space within which wealth can exist outside the gaze of the home tax authority.</w:t>
      </w:r>
    </w:p>
    <w:p w14:paraId="3FD977DC" w14:textId="77777777" w:rsidR="00C95D95" w:rsidRDefault="00000000">
      <w:pPr>
        <w:pBdr>
          <w:bottom w:val="single" w:sz="6" w:space="4" w:color="C5993E"/>
        </w:pBdr>
        <w:spacing w:before="360" w:after="200"/>
      </w:pPr>
      <w:r>
        <w:rPr>
          <w:rFonts w:ascii="Arial" w:eastAsia="Arial" w:hAnsi="Arial" w:cs="Arial"/>
          <w:b/>
          <w:bCs/>
          <w:color w:val="0F1A2E"/>
          <w:sz w:val="30"/>
          <w:szCs w:val="30"/>
        </w:rPr>
        <w:lastRenderedPageBreak/>
        <w:t>Threat 3: Exit Tax Tightening</w:t>
      </w:r>
    </w:p>
    <w:p w14:paraId="14D81036" w14:textId="77777777" w:rsidR="00C95D95" w:rsidRDefault="00000000">
      <w:pPr>
        <w:spacing w:after="200" w:line="300" w:lineRule="auto"/>
        <w:jc w:val="both"/>
      </w:pPr>
      <w:r>
        <w:rPr>
          <w:rFonts w:ascii="Arial" w:eastAsia="Arial" w:hAnsi="Arial" w:cs="Arial"/>
          <w:color w:val="333333"/>
          <w:sz w:val="22"/>
          <w:szCs w:val="22"/>
        </w:rPr>
        <w:t>The clearest indication that European governments are preparing for capital flight is the systematic tightening of exit taxes. The pattern documented across the case studies:</w:t>
      </w:r>
    </w:p>
    <w:p w14:paraId="3FF2A090"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Norway tightened its exit tax in 2025, reducing deferred-payment period to 12 years. This was a direct response to high-profile emigration of wealthy Norwegians.</w:t>
      </w:r>
    </w:p>
    <w:p w14:paraId="5A068FF3"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France retains its 30% exit tax on unrealized gains for residents of six of the prior ten years, applied to majority shareholdings or shareholdings exceeding €800,000.</w:t>
      </w:r>
    </w:p>
    <w:p w14:paraId="48CD3CBC"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Germany maintains its exit tax on shares representing more than 1% of share capital. Reform proposals to expand coverage are under discussion.</w:t>
      </w:r>
    </w:p>
    <w:p w14:paraId="049FE1E0"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Austria maintains an exit tax on shares representing more than 1% of corporate capital. Coverage of other asset classes has been periodically discussed.</w:t>
      </w:r>
    </w:p>
    <w:p w14:paraId="04A8FF3B"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Spain applies an exit tax to individuals transferring tax residence abroad.</w:t>
      </w:r>
    </w:p>
    <w:p w14:paraId="62543E64" w14:textId="77777777" w:rsidR="00C95D95" w:rsidRDefault="00000000">
      <w:pPr>
        <w:spacing w:after="200" w:line="300" w:lineRule="auto"/>
        <w:jc w:val="both"/>
      </w:pPr>
      <w:r>
        <w:rPr>
          <w:rFonts w:ascii="Arial" w:eastAsia="Arial" w:hAnsi="Arial" w:cs="Arial"/>
          <w:color w:val="333333"/>
          <w:sz w:val="22"/>
          <w:szCs w:val="22"/>
        </w:rPr>
        <w:t>EU-level harmonization of exit tax rules under the Anti-Tax Avoidance Directive (ATAD) already requires member states to impose exit taxation on companies relocating, with implications for individuals through deemed-disposal mechanisms. The trajectory is toward broader coverage and shorter deferral periods.</w:t>
      </w:r>
    </w:p>
    <w:p w14:paraId="54EA78DD" w14:textId="77777777" w:rsidR="00C95D95" w:rsidRDefault="00000000">
      <w:pPr>
        <w:spacing w:after="200" w:line="300" w:lineRule="auto"/>
        <w:jc w:val="both"/>
      </w:pPr>
      <w:r>
        <w:rPr>
          <w:rFonts w:ascii="Arial" w:eastAsia="Arial" w:hAnsi="Arial" w:cs="Arial"/>
          <w:color w:val="333333"/>
          <w:sz w:val="22"/>
          <w:szCs w:val="22"/>
        </w:rPr>
        <w:t xml:space="preserve">The strategic implication is significant. </w:t>
      </w:r>
      <w:r>
        <w:rPr>
          <w:rFonts w:ascii="Arial" w:eastAsia="Arial" w:hAnsi="Arial" w:cs="Arial"/>
          <w:b/>
          <w:bCs/>
          <w:color w:val="333333"/>
          <w:sz w:val="22"/>
          <w:szCs w:val="22"/>
        </w:rPr>
        <w:t>The cost of relocation rises with each tightening.</w:t>
      </w:r>
      <w:r>
        <w:rPr>
          <w:rFonts w:ascii="Arial" w:eastAsia="Arial" w:hAnsi="Arial" w:cs="Arial"/>
          <w:color w:val="333333"/>
          <w:sz w:val="22"/>
          <w:szCs w:val="22"/>
        </w:rPr>
        <w:t xml:space="preserve"> EU citizens contemplating eventual departure from high-tax jurisdictions face progressively larger frictions and progressively shorter windows for action.</w:t>
      </w:r>
    </w:p>
    <w:p w14:paraId="422B9DC3" w14:textId="77777777" w:rsidR="00C95D95" w:rsidRDefault="00000000">
      <w:pPr>
        <w:pBdr>
          <w:bottom w:val="single" w:sz="6" w:space="4" w:color="C5993E"/>
        </w:pBdr>
        <w:spacing w:before="360" w:after="200"/>
      </w:pPr>
      <w:r>
        <w:rPr>
          <w:rFonts w:ascii="Arial" w:eastAsia="Arial" w:hAnsi="Arial" w:cs="Arial"/>
          <w:b/>
          <w:bCs/>
          <w:color w:val="0F1A2E"/>
          <w:sz w:val="30"/>
          <w:szCs w:val="30"/>
        </w:rPr>
        <w:t>Threat 4: Valuation Reform and the Real-Estate Vector</w:t>
      </w:r>
    </w:p>
    <w:p w14:paraId="1E5015C3" w14:textId="77777777" w:rsidR="00C95D95" w:rsidRDefault="00000000">
      <w:pPr>
        <w:spacing w:after="200" w:line="300" w:lineRule="auto"/>
        <w:jc w:val="both"/>
      </w:pPr>
      <w:r>
        <w:rPr>
          <w:rFonts w:ascii="Arial" w:eastAsia="Arial" w:hAnsi="Arial" w:cs="Arial"/>
          <w:color w:val="333333"/>
          <w:sz w:val="22"/>
          <w:szCs w:val="22"/>
        </w:rPr>
        <w:t>Several historical wealth taxes failed because real-estate valuation was politically impossible to update. Austria’s tax was based on 1970s unit values; Germany’s relied on 1964 valuations. Both led to constitutional rulings. The Commission document is explicit that future wealth taxes will need to reform valuation — and points to the German property tax reform that did exactly this in recent years as a template.</w:t>
      </w:r>
    </w:p>
    <w:p w14:paraId="015F9E1B" w14:textId="77777777" w:rsidR="00C95D95" w:rsidRDefault="00000000">
      <w:pPr>
        <w:spacing w:after="200" w:line="300" w:lineRule="auto"/>
        <w:jc w:val="both"/>
      </w:pPr>
      <w:r>
        <w:rPr>
          <w:rFonts w:ascii="Arial" w:eastAsia="Arial" w:hAnsi="Arial" w:cs="Arial"/>
          <w:color w:val="333333"/>
          <w:sz w:val="22"/>
          <w:szCs w:val="22"/>
        </w:rPr>
        <w:t xml:space="preserve">EU citizens whose wealth is concentrated in real estate are particularly exposed. </w:t>
      </w:r>
      <w:r>
        <w:rPr>
          <w:rFonts w:ascii="Arial" w:eastAsia="Arial" w:hAnsi="Arial" w:cs="Arial"/>
          <w:b/>
          <w:bCs/>
          <w:color w:val="333333"/>
          <w:sz w:val="22"/>
          <w:szCs w:val="22"/>
        </w:rPr>
        <w:t>Real estate cannot be relocated. It is by far the easiest asset class to tax, value, and enforce against.</w:t>
      </w:r>
      <w:r>
        <w:rPr>
          <w:rFonts w:ascii="Arial" w:eastAsia="Arial" w:hAnsi="Arial" w:cs="Arial"/>
          <w:color w:val="333333"/>
          <w:sz w:val="22"/>
          <w:szCs w:val="22"/>
        </w:rPr>
        <w:t xml:space="preserve"> Recent EU directives on property registries (including coverage of beneficial ownership) make it progressively easier for tax authorities to identify ultimate owners. The combination of mandatory market valuation and comprehensive registries means that real-estate wealth is the most vulnerable category in any future wealth tax regime.</w:t>
      </w:r>
    </w:p>
    <w:p w14:paraId="4C411121" w14:textId="77777777" w:rsidR="00C95D95" w:rsidRDefault="00000000">
      <w:pPr>
        <w:pBdr>
          <w:bottom w:val="single" w:sz="6" w:space="4" w:color="C5993E"/>
        </w:pBdr>
        <w:spacing w:before="360" w:after="200"/>
      </w:pPr>
      <w:r>
        <w:rPr>
          <w:rFonts w:ascii="Arial" w:eastAsia="Arial" w:hAnsi="Arial" w:cs="Arial"/>
          <w:b/>
          <w:bCs/>
          <w:color w:val="0F1A2E"/>
          <w:sz w:val="30"/>
          <w:szCs w:val="30"/>
        </w:rPr>
        <w:lastRenderedPageBreak/>
        <w:t>Threat 5: The ‘Solidarity’ Frame and Political Sustainability</w:t>
      </w:r>
    </w:p>
    <w:p w14:paraId="773AF5FA" w14:textId="77777777" w:rsidR="00C95D95" w:rsidRDefault="00000000">
      <w:pPr>
        <w:spacing w:after="200" w:line="300" w:lineRule="auto"/>
        <w:jc w:val="both"/>
      </w:pPr>
      <w:r>
        <w:rPr>
          <w:rFonts w:ascii="Arial" w:eastAsia="Arial" w:hAnsi="Arial" w:cs="Arial"/>
          <w:color w:val="333333"/>
          <w:sz w:val="22"/>
          <w:szCs w:val="22"/>
        </w:rPr>
        <w:t>The Commission’s study includes survey data showing that public support for wealth taxes in Europe is durable and high. Austria: 70.9% average approval across twelve surveys 2009–2016. Germany: 62.5% across eleven surveys 2006–2015. France: three in four respondents in favor. This is not a fleeting political mood; it is a structural feature of European public opinion that has persisted across business cycles.</w:t>
      </w:r>
    </w:p>
    <w:p w14:paraId="2BFB7F11" w14:textId="77777777" w:rsidR="00C95D95" w:rsidRDefault="00000000">
      <w:pPr>
        <w:spacing w:after="200" w:line="300" w:lineRule="auto"/>
        <w:jc w:val="both"/>
      </w:pPr>
      <w:r>
        <w:rPr>
          <w:rFonts w:ascii="Arial" w:eastAsia="Arial" w:hAnsi="Arial" w:cs="Arial"/>
          <w:color w:val="333333"/>
          <w:sz w:val="22"/>
          <w:szCs w:val="22"/>
        </w:rPr>
        <w:t>The framing technologies used to maintain this support are well-understood. The word “solidarity” appears in the formal name of the French ISF (Impôt de Solidarité sur la Fortune), the Spanish TSTLF (Temporary Solidarity Tax on Large Fortunes), and the German Solidaritätszuschlag. The framing positions the tax as a contribution to collective welfare rather than as confiscation. Combined with the high thresholds that exclude the median voter, this frame has proven politically durable.</w:t>
      </w:r>
    </w:p>
    <w:p w14:paraId="6A4683C4" w14:textId="77777777" w:rsidR="00C95D95" w:rsidRDefault="00000000">
      <w:pPr>
        <w:spacing w:after="200" w:line="300" w:lineRule="auto"/>
        <w:jc w:val="both"/>
      </w:pPr>
      <w:r>
        <w:rPr>
          <w:rFonts w:ascii="Arial" w:eastAsia="Arial" w:hAnsi="Arial" w:cs="Arial"/>
          <w:i/>
          <w:iCs/>
          <w:color w:val="333333"/>
          <w:sz w:val="22"/>
          <w:szCs w:val="22"/>
        </w:rPr>
        <w:t>EU citizens should not expect public sentiment to constrain government action. The political path is open and unlikely to close. The constraints on action are technical (enforceability) and constitutional (valuation), and both are being engineered around.</w:t>
      </w:r>
    </w:p>
    <w:p w14:paraId="2E39F92E" w14:textId="77777777" w:rsidR="00C95D95" w:rsidRDefault="00000000">
      <w:pPr>
        <w:pBdr>
          <w:bottom w:val="single" w:sz="8" w:space="6" w:color="C5993E"/>
        </w:pBdr>
        <w:spacing w:before="480" w:after="240"/>
      </w:pPr>
      <w:r>
        <w:rPr>
          <w:rFonts w:ascii="Arial" w:eastAsia="Arial" w:hAnsi="Arial" w:cs="Arial"/>
          <w:b/>
          <w:bCs/>
          <w:color w:val="0F1A2E"/>
          <w:sz w:val="36"/>
          <w:szCs w:val="36"/>
        </w:rPr>
        <w:t>Part III: Strategic Response Framework for EU Citizens</w:t>
      </w:r>
    </w:p>
    <w:p w14:paraId="011920AC" w14:textId="77777777" w:rsidR="00C95D95" w:rsidRDefault="00000000">
      <w:pPr>
        <w:spacing w:after="200" w:line="300" w:lineRule="auto"/>
        <w:jc w:val="both"/>
      </w:pPr>
      <w:r>
        <w:rPr>
          <w:rFonts w:ascii="Arial" w:eastAsia="Arial" w:hAnsi="Arial" w:cs="Arial"/>
          <w:color w:val="333333"/>
          <w:sz w:val="22"/>
          <w:szCs w:val="22"/>
        </w:rPr>
        <w:t xml:space="preserve">The first principle of strategic response is to recognize that no single defensive measure suffices. Earlier generations relied on banking secrecy, offshore accounts, paper residency in low-tax jurisdictions, and aggressive use of business-asset exemptions. </w:t>
      </w:r>
      <w:r>
        <w:rPr>
          <w:rFonts w:ascii="Arial" w:eastAsia="Arial" w:hAnsi="Arial" w:cs="Arial"/>
          <w:b/>
          <w:bCs/>
          <w:color w:val="333333"/>
          <w:sz w:val="22"/>
          <w:szCs w:val="22"/>
        </w:rPr>
        <w:t>Each of these defenses has been or is being systematically dismantled.</w:t>
      </w:r>
      <w:r>
        <w:rPr>
          <w:rFonts w:ascii="Arial" w:eastAsia="Arial" w:hAnsi="Arial" w:cs="Arial"/>
          <w:color w:val="333333"/>
          <w:sz w:val="22"/>
          <w:szCs w:val="22"/>
        </w:rPr>
        <w:t xml:space="preserve"> Effective response requires a layered approach grounded in genuine substance — real residency, real business activity, real diversification — rather than paper structures that collapse under audit.</w:t>
      </w:r>
    </w:p>
    <w:p w14:paraId="3C071A7C" w14:textId="77777777" w:rsidR="00C95D95" w:rsidRDefault="00000000">
      <w:pPr>
        <w:pBdr>
          <w:bottom w:val="single" w:sz="6" w:space="4" w:color="C5993E"/>
        </w:pBdr>
        <w:spacing w:before="360" w:after="200"/>
      </w:pPr>
      <w:r>
        <w:rPr>
          <w:rFonts w:ascii="Arial" w:eastAsia="Arial" w:hAnsi="Arial" w:cs="Arial"/>
          <w:b/>
          <w:bCs/>
          <w:color w:val="0F1A2E"/>
          <w:sz w:val="30"/>
          <w:szCs w:val="30"/>
        </w:rPr>
        <w:t>Layer 1: Honest Diagnostic</w:t>
      </w:r>
    </w:p>
    <w:p w14:paraId="778FE322" w14:textId="77777777" w:rsidR="00C95D95" w:rsidRDefault="00000000">
      <w:pPr>
        <w:spacing w:after="200" w:line="300" w:lineRule="auto"/>
        <w:jc w:val="both"/>
      </w:pPr>
      <w:r>
        <w:rPr>
          <w:rFonts w:ascii="Arial" w:eastAsia="Arial" w:hAnsi="Arial" w:cs="Arial"/>
          <w:color w:val="333333"/>
          <w:sz w:val="22"/>
          <w:szCs w:val="22"/>
        </w:rPr>
        <w:t>The first step is an accurate assessment of current exposure. Key questions:</w:t>
      </w:r>
    </w:p>
    <w:p w14:paraId="66097DB8"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In which EU jurisdictions am I currently a tax resident, or have I been tax resident for any of the last ten years?</w:t>
      </w:r>
    </w:p>
    <w:p w14:paraId="1528EB1D"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What does the exit tax of each of those jurisdictions cover, and at what rate?</w:t>
      </w:r>
    </w:p>
    <w:p w14:paraId="5DD08742"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Where are my assets located, and which of them are subject to mandatory reporting under the Common Reporting Standard?</w:t>
      </w:r>
    </w:p>
    <w:p w14:paraId="23E1D302"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lastRenderedPageBreak/>
        <w:t>What is the composition of my wealth across asset classes — particularly real estate (least mobile), operating businesses (subject to exemption rules), financial assets (most transparent), and intangibles (hardest to value)?</w:t>
      </w:r>
    </w:p>
    <w:p w14:paraId="2968BA03"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Where would I be a tax resident under each jurisdiction’s residence rules if I changed my behavior — and how robust is that determination to scrutiny?</w:t>
      </w:r>
    </w:p>
    <w:p w14:paraId="31B4C71A" w14:textId="77777777" w:rsidR="00C95D95" w:rsidRDefault="00000000">
      <w:pPr>
        <w:spacing w:after="200" w:line="300" w:lineRule="auto"/>
        <w:jc w:val="both"/>
      </w:pPr>
      <w:r>
        <w:rPr>
          <w:rFonts w:ascii="Arial" w:eastAsia="Arial" w:hAnsi="Arial" w:cs="Arial"/>
          <w:color w:val="333333"/>
          <w:sz w:val="22"/>
          <w:szCs w:val="22"/>
        </w:rPr>
        <w:t>Without honest answers to these questions, no subsequent planning is meaningful. The Commission’s study repeatedly notes that audit determinations of fraudulent residency claims are a priority for European tax administrations. Spain’s national tax administration explicitly lists residence-control as an annual inspection priority.</w:t>
      </w:r>
    </w:p>
    <w:p w14:paraId="7F470B41" w14:textId="77777777" w:rsidR="00C95D95" w:rsidRDefault="00000000">
      <w:pPr>
        <w:pBdr>
          <w:bottom w:val="single" w:sz="6" w:space="4" w:color="C5993E"/>
        </w:pBdr>
        <w:spacing w:before="360" w:after="200"/>
      </w:pPr>
      <w:r>
        <w:rPr>
          <w:rFonts w:ascii="Arial" w:eastAsia="Arial" w:hAnsi="Arial" w:cs="Arial"/>
          <w:b/>
          <w:bCs/>
          <w:color w:val="0F1A2E"/>
          <w:sz w:val="30"/>
          <w:szCs w:val="30"/>
        </w:rPr>
        <w:t>Layer 2: Jurisdictional Repositioning</w:t>
      </w:r>
    </w:p>
    <w:p w14:paraId="6387C282" w14:textId="77777777" w:rsidR="00C95D95" w:rsidRDefault="00000000">
      <w:pPr>
        <w:spacing w:after="200" w:line="300" w:lineRule="auto"/>
        <w:jc w:val="both"/>
      </w:pPr>
      <w:r>
        <w:rPr>
          <w:rFonts w:ascii="Arial" w:eastAsia="Arial" w:hAnsi="Arial" w:cs="Arial"/>
          <w:color w:val="333333"/>
          <w:sz w:val="22"/>
          <w:szCs w:val="22"/>
        </w:rPr>
        <w:t xml:space="preserve">For EU citizens with sufficient flexibility, genuine relocation to a jurisdiction outside the EU’s wealth-tax pressure zone is the most robust response. </w:t>
      </w:r>
      <w:r>
        <w:rPr>
          <w:rFonts w:ascii="Arial" w:eastAsia="Arial" w:hAnsi="Arial" w:cs="Arial"/>
          <w:b/>
          <w:bCs/>
          <w:color w:val="333333"/>
          <w:sz w:val="22"/>
          <w:szCs w:val="22"/>
        </w:rPr>
        <w:t>“Genuine” here is a term of art and means substantively meeting the residence rules of the new jurisdiction while substantively breaking the residence rules of the old.</w:t>
      </w:r>
      <w:r>
        <w:rPr>
          <w:rFonts w:ascii="Arial" w:eastAsia="Arial" w:hAnsi="Arial" w:cs="Arial"/>
          <w:color w:val="333333"/>
          <w:sz w:val="22"/>
          <w:szCs w:val="22"/>
        </w:rPr>
        <w:t xml:space="preserve"> The most common errors involve maintaining habitual abode, family ties, or center of vital interests in the original jurisdiction while claiming residence elsewhere — a pattern tax authorities are well-trained to detect.</w:t>
      </w:r>
    </w:p>
    <w:p w14:paraId="6A3DE5D7" w14:textId="77777777" w:rsidR="00C95D95" w:rsidRDefault="00000000">
      <w:pPr>
        <w:spacing w:after="200" w:line="300" w:lineRule="auto"/>
        <w:jc w:val="both"/>
      </w:pPr>
      <w:r>
        <w:rPr>
          <w:rFonts w:ascii="Arial" w:eastAsia="Arial" w:hAnsi="Arial" w:cs="Arial"/>
          <w:color w:val="333333"/>
          <w:sz w:val="22"/>
          <w:szCs w:val="22"/>
        </w:rPr>
        <w:t>Among the destinations frequently considered:</w:t>
      </w:r>
    </w:p>
    <w:p w14:paraId="63A76988"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t xml:space="preserve">Switzerland (cantonal arbitrage). </w:t>
      </w:r>
      <w:r>
        <w:rPr>
          <w:rFonts w:ascii="Arial" w:eastAsia="Arial" w:hAnsi="Arial" w:cs="Arial"/>
          <w:color w:val="333333"/>
          <w:sz w:val="22"/>
          <w:szCs w:val="22"/>
        </w:rPr>
        <w:t>Lump-sum taxation remains available in several cantons for non-citizen non-workers. The Commission’s study notes the regime is under political pressure but remains in force. Mobility elasticity is exceptionally high.</w:t>
      </w:r>
    </w:p>
    <w:p w14:paraId="28886CFC"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t xml:space="preserve">United Arab Emirates. </w:t>
      </w:r>
      <w:r>
        <w:rPr>
          <w:rFonts w:ascii="Arial" w:eastAsia="Arial" w:hAnsi="Arial" w:cs="Arial"/>
          <w:color w:val="333333"/>
          <w:sz w:val="22"/>
          <w:szCs w:val="22"/>
        </w:rPr>
        <w:t>No personal income tax, no wealth tax, no inheritance tax. Substantial substance requirements but well-established residency programs. UAE-EU tax information exchange exists but the substantive tax burden is zero.</w:t>
      </w:r>
    </w:p>
    <w:p w14:paraId="14C9CC93"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t xml:space="preserve">Caribbean financial centers. </w:t>
      </w:r>
      <w:r>
        <w:rPr>
          <w:rFonts w:ascii="Arial" w:eastAsia="Arial" w:hAnsi="Arial" w:cs="Arial"/>
          <w:color w:val="333333"/>
          <w:sz w:val="22"/>
          <w:szCs w:val="22"/>
        </w:rPr>
        <w:t>Cayman Islands, Bermuda, BVI. No direct taxation of personal income or wealth. Increasingly subject to international transparency regimes but those regimes report — they do not tax. Substantive residency available with appropriate planning.</w:t>
      </w:r>
    </w:p>
    <w:p w14:paraId="1CB9F2C1"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t xml:space="preserve">Singapore and Hong Kong. </w:t>
      </w:r>
      <w:r>
        <w:rPr>
          <w:rFonts w:ascii="Arial" w:eastAsia="Arial" w:hAnsi="Arial" w:cs="Arial"/>
          <w:color w:val="333333"/>
          <w:sz w:val="22"/>
          <w:szCs w:val="22"/>
        </w:rPr>
        <w:t>Territorial taxation systems with no wealth tax. Substantial substance requirements and increasing alignment with OECD norms but remain attractive for genuine business presence.</w:t>
      </w:r>
    </w:p>
    <w:p w14:paraId="24A2974E"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t xml:space="preserve">Italy’s flat-tax regime for new residents. </w:t>
      </w:r>
      <w:r>
        <w:rPr>
          <w:rFonts w:ascii="Arial" w:eastAsia="Arial" w:hAnsi="Arial" w:cs="Arial"/>
          <w:color w:val="333333"/>
          <w:sz w:val="22"/>
          <w:szCs w:val="22"/>
        </w:rPr>
        <w:t>€200,000 annual flat tax on foreign income for HNW individuals relocating to Italy. Within the EU but operates as a wealth-tax shelter for non-domiciled income. Politically vulnerable but currently in force.</w:t>
      </w:r>
    </w:p>
    <w:p w14:paraId="0C933FDD" w14:textId="77777777" w:rsidR="00C95D95" w:rsidRDefault="00000000">
      <w:pPr>
        <w:pStyle w:val="ListParagraph"/>
        <w:numPr>
          <w:ilvl w:val="0"/>
          <w:numId w:val="2"/>
        </w:numPr>
        <w:spacing w:after="120" w:line="300" w:lineRule="auto"/>
      </w:pPr>
      <w:r>
        <w:rPr>
          <w:rFonts w:ascii="Arial" w:eastAsia="Arial" w:hAnsi="Arial" w:cs="Arial"/>
          <w:b/>
          <w:bCs/>
          <w:color w:val="333333"/>
          <w:sz w:val="22"/>
          <w:szCs w:val="22"/>
        </w:rPr>
        <w:lastRenderedPageBreak/>
        <w:t xml:space="preserve">Portugal’s NHR successor regime. </w:t>
      </w:r>
      <w:r>
        <w:rPr>
          <w:rFonts w:ascii="Arial" w:eastAsia="Arial" w:hAnsi="Arial" w:cs="Arial"/>
          <w:color w:val="333333"/>
          <w:sz w:val="22"/>
          <w:szCs w:val="22"/>
        </w:rPr>
        <w:t>Reduced after 2024 reforms but still meaningful for certain professional categories.</w:t>
      </w:r>
    </w:p>
    <w:p w14:paraId="0805C16D" w14:textId="77777777" w:rsidR="00C95D95" w:rsidRDefault="00000000">
      <w:pPr>
        <w:spacing w:after="200" w:line="300" w:lineRule="auto"/>
        <w:jc w:val="both"/>
      </w:pPr>
      <w:r>
        <w:rPr>
          <w:rFonts w:ascii="Arial" w:eastAsia="Arial" w:hAnsi="Arial" w:cs="Arial"/>
          <w:color w:val="333333"/>
          <w:sz w:val="22"/>
          <w:szCs w:val="22"/>
        </w:rPr>
        <w:t>The key consideration in any of these is timing relative to exit-tax exposure. A French resident who relocates after seven years carries a different exit-tax burden than one who relocates after four. A Norwegian who relocates faces the new twelve-year deferral rather than the previous indefinite arrangement. Specific timing optimization requires individualized analysis.</w:t>
      </w:r>
    </w:p>
    <w:p w14:paraId="5FDA38A7" w14:textId="77777777" w:rsidR="00C95D95" w:rsidRDefault="00000000">
      <w:pPr>
        <w:pBdr>
          <w:bottom w:val="single" w:sz="6" w:space="4" w:color="C5993E"/>
        </w:pBdr>
        <w:spacing w:before="360" w:after="200"/>
      </w:pPr>
      <w:r>
        <w:rPr>
          <w:rFonts w:ascii="Arial" w:eastAsia="Arial" w:hAnsi="Arial" w:cs="Arial"/>
          <w:b/>
          <w:bCs/>
          <w:color w:val="0F1A2E"/>
          <w:sz w:val="30"/>
          <w:szCs w:val="30"/>
        </w:rPr>
        <w:t>Layer 3: Asset Repositioning Within Existing Residency</w:t>
      </w:r>
    </w:p>
    <w:p w14:paraId="51BC5880" w14:textId="77777777" w:rsidR="00C95D95" w:rsidRDefault="00000000">
      <w:pPr>
        <w:spacing w:after="200" w:line="300" w:lineRule="auto"/>
        <w:jc w:val="both"/>
      </w:pPr>
      <w:r>
        <w:rPr>
          <w:rFonts w:ascii="Arial" w:eastAsia="Arial" w:hAnsi="Arial" w:cs="Arial"/>
          <w:color w:val="333333"/>
          <w:sz w:val="22"/>
          <w:szCs w:val="22"/>
        </w:rPr>
        <w:t>For EU citizens unable or unwilling to relocate, the question is how to position wealth within the existing tax-residence framework to minimize exposure to a future wealth tax. The Commission’s study, read against itself, provides a clear playbook:</w:t>
      </w:r>
    </w:p>
    <w:p w14:paraId="419C0DAD"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Productive business assets are nearly universally afforded exemptions. The conditions vary by jurisdiction but generally require active management and meaningful ownership. The Spanish family-business exemption, the German Dutreil-equivalent provisions, and Norway’s productive-capital valuation discount all reward genuine entrepreneurship. Holding wealth as operating businesses rather than passive financial assets is structurally tax-advantaged.</w:t>
      </w:r>
    </w:p>
    <w:p w14:paraId="1AC58443"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Real estate is the most exposed category in any wealth-tax regime. Concentration of wealth in domestic real estate is the worst possible position for an EU citizen anticipating wealth-tax pressure. Diversification away from real estate, or into jurisdictions where real estate is not subject to wealth taxation, is structurally protective.</w:t>
      </w:r>
    </w:p>
    <w:p w14:paraId="266FACB9"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Insurance and pension wrappers receive favorable treatment in most jurisdictions. The specifics vary — Norwegian compulsory pensions are excluded; French exit-tax treatment of life-insurance contracts is favorable; Italian wrappers can defer taxation — but the general principle is that wealth held in retirement and insurance structures is treated more leniently than wealth held directly.</w:t>
      </w:r>
    </w:p>
    <w:p w14:paraId="2541F965" w14:textId="77777777" w:rsidR="00C95D95" w:rsidRDefault="00000000">
      <w:pPr>
        <w:pStyle w:val="ListParagraph"/>
        <w:numPr>
          <w:ilvl w:val="0"/>
          <w:numId w:val="2"/>
        </w:numPr>
        <w:spacing w:after="120" w:line="300" w:lineRule="auto"/>
      </w:pPr>
      <w:r>
        <w:rPr>
          <w:rFonts w:ascii="Arial" w:eastAsia="Arial" w:hAnsi="Arial" w:cs="Arial"/>
          <w:color w:val="333333"/>
          <w:sz w:val="22"/>
          <w:szCs w:val="22"/>
        </w:rPr>
        <w:t>Intangible assets — intellectual property, goodwill, internally developed technology — are systematically undervalued by tax authorities because there is no easy market reference. The Norwegian wealth tax explicitly excludes intangibles from the valuation of unlisted firms. EU citizens with significant intangible assets should ensure those assets are properly registered and structured to take advantage of these treatment differentials.</w:t>
      </w:r>
    </w:p>
    <w:p w14:paraId="6F095667" w14:textId="77777777" w:rsidR="00C95D95" w:rsidRDefault="00000000">
      <w:pPr>
        <w:pBdr>
          <w:bottom w:val="single" w:sz="6" w:space="4" w:color="C5993E"/>
        </w:pBdr>
        <w:spacing w:before="360" w:after="200"/>
      </w:pPr>
      <w:r>
        <w:rPr>
          <w:rFonts w:ascii="Arial" w:eastAsia="Arial" w:hAnsi="Arial" w:cs="Arial"/>
          <w:b/>
          <w:bCs/>
          <w:color w:val="0F1A2E"/>
          <w:sz w:val="30"/>
          <w:szCs w:val="30"/>
        </w:rPr>
        <w:t>Layer 4: Pre-emptive Documentation</w:t>
      </w:r>
    </w:p>
    <w:p w14:paraId="5444AEE5" w14:textId="77777777" w:rsidR="00C95D95" w:rsidRDefault="00000000">
      <w:pPr>
        <w:spacing w:after="200" w:line="300" w:lineRule="auto"/>
        <w:jc w:val="both"/>
      </w:pPr>
      <w:r>
        <w:rPr>
          <w:rFonts w:ascii="Arial" w:eastAsia="Arial" w:hAnsi="Arial" w:cs="Arial"/>
          <w:color w:val="333333"/>
          <w:sz w:val="22"/>
          <w:szCs w:val="22"/>
        </w:rPr>
        <w:t xml:space="preserve">A theme that runs through the Commission’s study is that wealth-tax enforcement increasingly relies on the absence of documentation. The Spanish family-business exemption requires </w:t>
      </w:r>
      <w:r>
        <w:rPr>
          <w:rFonts w:ascii="Arial" w:eastAsia="Arial" w:hAnsi="Arial" w:cs="Arial"/>
          <w:color w:val="333333"/>
          <w:sz w:val="22"/>
          <w:szCs w:val="22"/>
        </w:rPr>
        <w:lastRenderedPageBreak/>
        <w:t>meeting specific conditions; failure constitutes evasion. The French cap exploitation requires a particular asset/income configuration. The Norwegian productive-capital discount requires the assets to be genuinely productive.</w:t>
      </w:r>
    </w:p>
    <w:p w14:paraId="69F65C3C" w14:textId="77777777" w:rsidR="00C95D95" w:rsidRDefault="00000000">
      <w:pPr>
        <w:spacing w:after="200" w:line="300" w:lineRule="auto"/>
        <w:jc w:val="both"/>
      </w:pPr>
      <w:r>
        <w:rPr>
          <w:rFonts w:ascii="Arial" w:eastAsia="Arial" w:hAnsi="Arial" w:cs="Arial"/>
          <w:color w:val="333333"/>
          <w:sz w:val="22"/>
          <w:szCs w:val="22"/>
        </w:rPr>
        <w:t xml:space="preserve">EU citizens whose structures rely on these provisions should ensure that the substantive conditions are met and documented contemporaneously. </w:t>
      </w:r>
      <w:r>
        <w:rPr>
          <w:rFonts w:ascii="Arial" w:eastAsia="Arial" w:hAnsi="Arial" w:cs="Arial"/>
          <w:b/>
          <w:bCs/>
          <w:color w:val="333333"/>
          <w:sz w:val="22"/>
          <w:szCs w:val="22"/>
        </w:rPr>
        <w:t>Tax authorities will increasingly use AI-assisted audit tools to identify structural anomalies, and the burden of proving substance will fall on the taxpayer.</w:t>
      </w:r>
      <w:r>
        <w:rPr>
          <w:rFonts w:ascii="Arial" w:eastAsia="Arial" w:hAnsi="Arial" w:cs="Arial"/>
          <w:color w:val="333333"/>
          <w:sz w:val="22"/>
          <w:szCs w:val="22"/>
        </w:rPr>
        <w:t xml:space="preserve"> Building the documentation now is far cheaper than reconstructing it under audit.</w:t>
      </w:r>
    </w:p>
    <w:p w14:paraId="2B3D49DB" w14:textId="77777777" w:rsidR="00C95D95" w:rsidRDefault="00000000">
      <w:pPr>
        <w:pBdr>
          <w:bottom w:val="single" w:sz="6" w:space="4" w:color="C5993E"/>
        </w:pBdr>
        <w:spacing w:before="360" w:after="200"/>
      </w:pPr>
      <w:r>
        <w:rPr>
          <w:rFonts w:ascii="Arial" w:eastAsia="Arial" w:hAnsi="Arial" w:cs="Arial"/>
          <w:b/>
          <w:bCs/>
          <w:color w:val="0F1A2E"/>
          <w:sz w:val="30"/>
          <w:szCs w:val="30"/>
        </w:rPr>
        <w:t>Layer 5: Generational Planning</w:t>
      </w:r>
    </w:p>
    <w:p w14:paraId="69472B27" w14:textId="77777777" w:rsidR="00C95D95" w:rsidRDefault="00000000">
      <w:pPr>
        <w:spacing w:after="200" w:line="300" w:lineRule="auto"/>
        <w:jc w:val="both"/>
      </w:pPr>
      <w:r>
        <w:rPr>
          <w:rFonts w:ascii="Arial" w:eastAsia="Arial" w:hAnsi="Arial" w:cs="Arial"/>
          <w:color w:val="333333"/>
          <w:sz w:val="22"/>
          <w:szCs w:val="22"/>
        </w:rPr>
        <w:t>Wealth taxes interact with inheritance taxes in ways the Commission’s study addresses extensively. France, Germany, and Spain all have substantial inheritance and gift taxes. Norway abolished its inheritance tax in 2014 but levies its wealth tax instead. Switzerland is currently considering a 50% inheritance tax on estates over CHF 50 million — to be voted on in November 2025.</w:t>
      </w:r>
    </w:p>
    <w:p w14:paraId="6A4F53C7" w14:textId="77777777" w:rsidR="00C95D95" w:rsidRDefault="00000000">
      <w:pPr>
        <w:spacing w:after="200" w:line="300" w:lineRule="auto"/>
        <w:jc w:val="both"/>
      </w:pPr>
      <w:r>
        <w:rPr>
          <w:rFonts w:ascii="Arial" w:eastAsia="Arial" w:hAnsi="Arial" w:cs="Arial"/>
          <w:color w:val="333333"/>
          <w:sz w:val="22"/>
          <w:szCs w:val="22"/>
        </w:rPr>
        <w:t>The interaction matters because pre-mortem wealth transfers (gifts) often face lower effective rates than post-mortem transfers (inheritances), and structured gifts can shift wealth out of jurisdictions before exit-tax friction increases. EU citizens with significant wealth and adult children should evaluate whether structured pre-mortem transfers — combined with the children’s relocation to favorable jurisdictions — accomplish more than waiting for an inheritance event under future rules.</w:t>
      </w:r>
    </w:p>
    <w:p w14:paraId="004DE69E" w14:textId="77777777" w:rsidR="00C95D95" w:rsidRDefault="00000000">
      <w:pPr>
        <w:pBdr>
          <w:bottom w:val="single" w:sz="8" w:space="6" w:color="C5993E"/>
        </w:pBdr>
        <w:spacing w:before="480" w:after="240"/>
      </w:pPr>
      <w:r>
        <w:rPr>
          <w:rFonts w:ascii="Arial" w:eastAsia="Arial" w:hAnsi="Arial" w:cs="Arial"/>
          <w:b/>
          <w:bCs/>
          <w:color w:val="0F1A2E"/>
          <w:sz w:val="36"/>
          <w:szCs w:val="36"/>
        </w:rPr>
        <w:t>Part IV: Country-by-Country Threat Assessment</w:t>
      </w:r>
    </w:p>
    <w:p w14:paraId="4794EF66" w14:textId="77777777" w:rsidR="00C95D95" w:rsidRDefault="00000000">
      <w:pPr>
        <w:spacing w:after="200" w:line="300" w:lineRule="auto"/>
        <w:jc w:val="both"/>
      </w:pPr>
      <w:r>
        <w:rPr>
          <w:rFonts w:ascii="Arial" w:eastAsia="Arial" w:hAnsi="Arial" w:cs="Arial"/>
          <w:color w:val="333333"/>
          <w:sz w:val="22"/>
          <w:szCs w:val="22"/>
        </w:rPr>
        <w:t>This section summarizes the specific exposures and response considerations for the major EU jurisdictions covered in the Commission study.</w:t>
      </w:r>
    </w:p>
    <w:p w14:paraId="37B0F825" w14:textId="77777777" w:rsidR="00C95D95" w:rsidRDefault="00000000">
      <w:pPr>
        <w:pBdr>
          <w:bottom w:val="single" w:sz="6" w:space="4" w:color="C5993E"/>
        </w:pBdr>
        <w:spacing w:before="360" w:after="200"/>
      </w:pPr>
      <w:r>
        <w:rPr>
          <w:rFonts w:ascii="Arial" w:eastAsia="Arial" w:hAnsi="Arial" w:cs="Arial"/>
          <w:b/>
          <w:bCs/>
          <w:color w:val="0F1A2E"/>
          <w:sz w:val="30"/>
          <w:szCs w:val="30"/>
        </w:rPr>
        <w:t>France</w:t>
      </w:r>
    </w:p>
    <w:p w14:paraId="1B2C6E5F" w14:textId="77777777" w:rsidR="00C95D95" w:rsidRDefault="00000000">
      <w:pPr>
        <w:spacing w:after="200" w:line="300" w:lineRule="auto"/>
        <w:jc w:val="both"/>
      </w:pPr>
      <w:r>
        <w:rPr>
          <w:rFonts w:ascii="Arial" w:eastAsia="Arial" w:hAnsi="Arial" w:cs="Arial"/>
          <w:b/>
          <w:bCs/>
          <w:color w:val="333333"/>
          <w:sz w:val="22"/>
          <w:szCs w:val="22"/>
        </w:rPr>
        <w:t xml:space="preserve">Current state: </w:t>
      </w:r>
      <w:r>
        <w:rPr>
          <w:rFonts w:ascii="Arial" w:eastAsia="Arial" w:hAnsi="Arial" w:cs="Arial"/>
          <w:color w:val="333333"/>
          <w:sz w:val="22"/>
          <w:szCs w:val="22"/>
        </w:rPr>
        <w:t>IFI (real-estate-only wealth tax) in force above €1.3 million. Rates 0.5%–1.5%. Exit tax on unrealized gains for residents of six of last ten years, applied to majority holdings or holdings over €800,000.</w:t>
      </w:r>
    </w:p>
    <w:p w14:paraId="1292FE91" w14:textId="77777777" w:rsidR="00C95D95" w:rsidRDefault="00000000">
      <w:pPr>
        <w:spacing w:after="200" w:line="300" w:lineRule="auto"/>
        <w:jc w:val="both"/>
      </w:pPr>
      <w:r>
        <w:rPr>
          <w:rFonts w:ascii="Arial" w:eastAsia="Arial" w:hAnsi="Arial" w:cs="Arial"/>
          <w:b/>
          <w:bCs/>
          <w:color w:val="333333"/>
          <w:sz w:val="22"/>
          <w:szCs w:val="22"/>
        </w:rPr>
        <w:t xml:space="preserve">Trajectory: </w:t>
      </w:r>
      <w:r>
        <w:rPr>
          <w:rFonts w:ascii="Arial" w:eastAsia="Arial" w:hAnsi="Arial" w:cs="Arial"/>
          <w:color w:val="333333"/>
          <w:sz w:val="22"/>
          <w:szCs w:val="22"/>
        </w:rPr>
        <w:t>Active political momentum to reintroduce a broad wealth tax. National Assembly already approved a 2% tax above €100 million; failed at Senate but expected to return. The Zucman proposal is the leading framework. Public support is strong.</w:t>
      </w:r>
    </w:p>
    <w:p w14:paraId="2C3CC22A" w14:textId="77777777" w:rsidR="00C95D95" w:rsidRDefault="00000000">
      <w:pPr>
        <w:spacing w:after="200" w:line="300" w:lineRule="auto"/>
        <w:jc w:val="both"/>
      </w:pPr>
      <w:r>
        <w:rPr>
          <w:rFonts w:ascii="Arial" w:eastAsia="Arial" w:hAnsi="Arial" w:cs="Arial"/>
          <w:b/>
          <w:bCs/>
          <w:color w:val="333333"/>
          <w:sz w:val="22"/>
          <w:szCs w:val="22"/>
        </w:rPr>
        <w:lastRenderedPageBreak/>
        <w:t xml:space="preserve">Response considerations: </w:t>
      </w:r>
      <w:r>
        <w:rPr>
          <w:rFonts w:ascii="Arial" w:eastAsia="Arial" w:hAnsi="Arial" w:cs="Arial"/>
          <w:color w:val="333333"/>
          <w:sz w:val="22"/>
          <w:szCs w:val="22"/>
        </w:rPr>
        <w:t>French residents with non-real-estate wealth currently benefit from the 2018 IFI conversion but should not assume this is permanent. Pre-emptive relocation should consider the six-year residency look-back rule for exit tax. Real estate is fully exposed and likely to remain so.</w:t>
      </w:r>
    </w:p>
    <w:p w14:paraId="31F195A8" w14:textId="77777777" w:rsidR="00C95D95" w:rsidRDefault="00000000">
      <w:pPr>
        <w:pBdr>
          <w:bottom w:val="single" w:sz="6" w:space="4" w:color="C5993E"/>
        </w:pBdr>
        <w:spacing w:before="360" w:after="200"/>
      </w:pPr>
      <w:r>
        <w:rPr>
          <w:rFonts w:ascii="Arial" w:eastAsia="Arial" w:hAnsi="Arial" w:cs="Arial"/>
          <w:b/>
          <w:bCs/>
          <w:color w:val="0F1A2E"/>
          <w:sz w:val="30"/>
          <w:szCs w:val="30"/>
        </w:rPr>
        <w:t>Germany</w:t>
      </w:r>
    </w:p>
    <w:p w14:paraId="1C07240D" w14:textId="77777777" w:rsidR="00C95D95" w:rsidRDefault="00000000">
      <w:pPr>
        <w:spacing w:after="200" w:line="300" w:lineRule="auto"/>
        <w:jc w:val="both"/>
      </w:pPr>
      <w:r>
        <w:rPr>
          <w:rFonts w:ascii="Arial" w:eastAsia="Arial" w:hAnsi="Arial" w:cs="Arial"/>
          <w:b/>
          <w:bCs/>
          <w:color w:val="333333"/>
          <w:sz w:val="22"/>
          <w:szCs w:val="22"/>
        </w:rPr>
        <w:t xml:space="preserve">Current state: </w:t>
      </w:r>
      <w:r>
        <w:rPr>
          <w:rFonts w:ascii="Arial" w:eastAsia="Arial" w:hAnsi="Arial" w:cs="Arial"/>
          <w:color w:val="333333"/>
          <w:sz w:val="22"/>
          <w:szCs w:val="22"/>
        </w:rPr>
        <w:t>Wealth tax suspended since 1997 but never formally repealed. Inheritance and gift tax with rates 7%–50% depending on relationship. Exit tax on shares representing more than 1% of share capital. Capital income flat tax of 25%.</w:t>
      </w:r>
    </w:p>
    <w:p w14:paraId="58FECE47" w14:textId="77777777" w:rsidR="00C95D95" w:rsidRDefault="00000000">
      <w:pPr>
        <w:spacing w:after="200" w:line="300" w:lineRule="auto"/>
        <w:jc w:val="both"/>
      </w:pPr>
      <w:r>
        <w:rPr>
          <w:rFonts w:ascii="Arial" w:eastAsia="Arial" w:hAnsi="Arial" w:cs="Arial"/>
          <w:b/>
          <w:bCs/>
          <w:color w:val="333333"/>
          <w:sz w:val="22"/>
          <w:szCs w:val="22"/>
        </w:rPr>
        <w:t xml:space="preserve">Trajectory: </w:t>
      </w:r>
      <w:r>
        <w:rPr>
          <w:rFonts w:ascii="Arial" w:eastAsia="Arial" w:hAnsi="Arial" w:cs="Arial"/>
          <w:color w:val="333333"/>
          <w:sz w:val="22"/>
          <w:szCs w:val="22"/>
        </w:rPr>
        <w:t>Reintroduction proposed by SPD, Greens, Left in 2024 elections. Currently blocked by CDU in CDU-SPD coalition formed April 2025. Constitutional barriers from the 1995 ruling can be addressed through valuation reform. Bach and Thiemann (2016) simulation suggests significant revenue potential at modern collection costs of 6.6%–8.2%.</w:t>
      </w:r>
    </w:p>
    <w:p w14:paraId="423C658A" w14:textId="77777777" w:rsidR="00C95D95" w:rsidRDefault="00000000">
      <w:pPr>
        <w:spacing w:after="200" w:line="300" w:lineRule="auto"/>
        <w:jc w:val="both"/>
      </w:pPr>
      <w:r>
        <w:rPr>
          <w:rFonts w:ascii="Arial" w:eastAsia="Arial" w:hAnsi="Arial" w:cs="Arial"/>
          <w:b/>
          <w:bCs/>
          <w:color w:val="333333"/>
          <w:sz w:val="22"/>
          <w:szCs w:val="22"/>
        </w:rPr>
        <w:t xml:space="preserve">Response considerations: </w:t>
      </w:r>
      <w:r>
        <w:rPr>
          <w:rFonts w:ascii="Arial" w:eastAsia="Arial" w:hAnsi="Arial" w:cs="Arial"/>
          <w:color w:val="333333"/>
          <w:sz w:val="22"/>
          <w:szCs w:val="22"/>
        </w:rPr>
        <w:t>The political timeline is uncertain but the institutional infrastructure is being prepared. German residents with substantial wealth should track coalition dynamics closely. The current property tax reform process is the most important leading indicator — once mandatory market valuation of real estate is operational, the technical barrier to wealth tax reintroduction is substantially removed.</w:t>
      </w:r>
    </w:p>
    <w:p w14:paraId="2210409E" w14:textId="77777777" w:rsidR="00C95D95" w:rsidRDefault="00000000">
      <w:pPr>
        <w:pBdr>
          <w:bottom w:val="single" w:sz="6" w:space="4" w:color="C5993E"/>
        </w:pBdr>
        <w:spacing w:before="360" w:after="200"/>
      </w:pPr>
      <w:r>
        <w:rPr>
          <w:rFonts w:ascii="Arial" w:eastAsia="Arial" w:hAnsi="Arial" w:cs="Arial"/>
          <w:b/>
          <w:bCs/>
          <w:color w:val="0F1A2E"/>
          <w:sz w:val="30"/>
          <w:szCs w:val="30"/>
        </w:rPr>
        <w:t>Austria</w:t>
      </w:r>
    </w:p>
    <w:p w14:paraId="648BACF0" w14:textId="77777777" w:rsidR="00C95D95" w:rsidRDefault="00000000">
      <w:pPr>
        <w:spacing w:after="200" w:line="300" w:lineRule="auto"/>
        <w:jc w:val="both"/>
      </w:pPr>
      <w:r>
        <w:rPr>
          <w:rFonts w:ascii="Arial" w:eastAsia="Arial" w:hAnsi="Arial" w:cs="Arial"/>
          <w:b/>
          <w:bCs/>
          <w:color w:val="333333"/>
          <w:sz w:val="22"/>
          <w:szCs w:val="22"/>
        </w:rPr>
        <w:t xml:space="preserve">Current state: </w:t>
      </w:r>
      <w:r>
        <w:rPr>
          <w:rFonts w:ascii="Arial" w:eastAsia="Arial" w:hAnsi="Arial" w:cs="Arial"/>
          <w:color w:val="333333"/>
          <w:sz w:val="22"/>
          <w:szCs w:val="22"/>
        </w:rPr>
        <w:t>No wealth tax (abolished 1994), no inheritance tax (abolished 2008). Capital income flat tax of 27.5%. Exit tax on shares representing more than 1% of share capital.</w:t>
      </w:r>
    </w:p>
    <w:p w14:paraId="5D764E39" w14:textId="77777777" w:rsidR="00C95D95" w:rsidRDefault="00000000">
      <w:pPr>
        <w:spacing w:after="200" w:line="300" w:lineRule="auto"/>
        <w:jc w:val="both"/>
      </w:pPr>
      <w:r>
        <w:rPr>
          <w:rFonts w:ascii="Arial" w:eastAsia="Arial" w:hAnsi="Arial" w:cs="Arial"/>
          <w:b/>
          <w:bCs/>
          <w:color w:val="333333"/>
          <w:sz w:val="22"/>
          <w:szCs w:val="22"/>
        </w:rPr>
        <w:t xml:space="preserve">Trajectory: </w:t>
      </w:r>
      <w:r>
        <w:rPr>
          <w:rFonts w:ascii="Arial" w:eastAsia="Arial" w:hAnsi="Arial" w:cs="Arial"/>
          <w:color w:val="333333"/>
          <w:sz w:val="22"/>
          <w:szCs w:val="22"/>
        </w:rPr>
        <w:t>Repeated SPÖ proposals, currently blocked in ÖVP-SPÖ-Neos coalition. 70.9% public approval is the highest in the studied jurisdictions. Constitutional Final Taxation Act prevents wealth tax on financial assets subject to the withholding tax — a meaningful barrier. Real-estate valuation reform would be required.</w:t>
      </w:r>
    </w:p>
    <w:p w14:paraId="1EA3D526" w14:textId="77777777" w:rsidR="00C95D95" w:rsidRDefault="00000000">
      <w:pPr>
        <w:spacing w:after="200" w:line="300" w:lineRule="auto"/>
        <w:jc w:val="both"/>
      </w:pPr>
      <w:r>
        <w:rPr>
          <w:rFonts w:ascii="Arial" w:eastAsia="Arial" w:hAnsi="Arial" w:cs="Arial"/>
          <w:b/>
          <w:bCs/>
          <w:color w:val="333333"/>
          <w:sz w:val="22"/>
          <w:szCs w:val="22"/>
        </w:rPr>
        <w:t xml:space="preserve">Response considerations: </w:t>
      </w:r>
      <w:r>
        <w:rPr>
          <w:rFonts w:ascii="Arial" w:eastAsia="Arial" w:hAnsi="Arial" w:cs="Arial"/>
          <w:color w:val="333333"/>
          <w:sz w:val="22"/>
          <w:szCs w:val="22"/>
        </w:rPr>
        <w:t>The constitutional barrier is the most significant of any major EU jurisdiction. However, this barrier protects only financial assets, not real estate or business interests. Austrian residents with concentrated real-estate or operating-business wealth should not rely on the constitutional barrier as comprehensive protection.</w:t>
      </w:r>
    </w:p>
    <w:p w14:paraId="0E34D0A0" w14:textId="77777777" w:rsidR="00C95D95" w:rsidRDefault="00000000">
      <w:pPr>
        <w:pBdr>
          <w:bottom w:val="single" w:sz="6" w:space="4" w:color="C5993E"/>
        </w:pBdr>
        <w:spacing w:before="360" w:after="200"/>
      </w:pPr>
      <w:r>
        <w:rPr>
          <w:rFonts w:ascii="Arial" w:eastAsia="Arial" w:hAnsi="Arial" w:cs="Arial"/>
          <w:b/>
          <w:bCs/>
          <w:color w:val="0F1A2E"/>
          <w:sz w:val="30"/>
          <w:szCs w:val="30"/>
        </w:rPr>
        <w:t>Spain</w:t>
      </w:r>
    </w:p>
    <w:p w14:paraId="1B3437FC" w14:textId="77777777" w:rsidR="00C95D95" w:rsidRDefault="00000000">
      <w:pPr>
        <w:spacing w:after="200" w:line="300" w:lineRule="auto"/>
        <w:jc w:val="both"/>
      </w:pPr>
      <w:r>
        <w:rPr>
          <w:rFonts w:ascii="Arial" w:eastAsia="Arial" w:hAnsi="Arial" w:cs="Arial"/>
          <w:b/>
          <w:bCs/>
          <w:color w:val="333333"/>
          <w:sz w:val="22"/>
          <w:szCs w:val="22"/>
        </w:rPr>
        <w:lastRenderedPageBreak/>
        <w:t xml:space="preserve">Current state: </w:t>
      </w:r>
      <w:r>
        <w:rPr>
          <w:rFonts w:ascii="Arial" w:eastAsia="Arial" w:hAnsi="Arial" w:cs="Arial"/>
          <w:color w:val="333333"/>
          <w:sz w:val="22"/>
          <w:szCs w:val="22"/>
        </w:rPr>
        <w:t>Wealth tax in force above €700,000 with rates 0.2%–3.5% (regional variation). TSTLF in force above €3 million as overlay. Inheritance and gift tax with significant regional variation and exemptions. Exit tax on individuals transferring residence abroad.</w:t>
      </w:r>
    </w:p>
    <w:p w14:paraId="3D547851" w14:textId="77777777" w:rsidR="00C95D95" w:rsidRDefault="00000000">
      <w:pPr>
        <w:spacing w:after="200" w:line="300" w:lineRule="auto"/>
        <w:jc w:val="both"/>
      </w:pPr>
      <w:r>
        <w:rPr>
          <w:rFonts w:ascii="Arial" w:eastAsia="Arial" w:hAnsi="Arial" w:cs="Arial"/>
          <w:b/>
          <w:bCs/>
          <w:color w:val="333333"/>
          <w:sz w:val="22"/>
          <w:szCs w:val="22"/>
        </w:rPr>
        <w:t xml:space="preserve">Trajectory: </w:t>
      </w:r>
      <w:r>
        <w:rPr>
          <w:rFonts w:ascii="Arial" w:eastAsia="Arial" w:hAnsi="Arial" w:cs="Arial"/>
          <w:color w:val="333333"/>
          <w:sz w:val="22"/>
          <w:szCs w:val="22"/>
        </w:rPr>
        <w:t>Wealth tax made permanent in 2021. TSTLF made permanent in 2023. Constitutional Court has upheld both. Tax avoidance via business exemptions and the income/wealth liability cap is documented but the gaps are being narrowed.</w:t>
      </w:r>
    </w:p>
    <w:p w14:paraId="6C9896FC" w14:textId="77777777" w:rsidR="00C95D95" w:rsidRDefault="00000000">
      <w:pPr>
        <w:spacing w:after="200" w:line="300" w:lineRule="auto"/>
        <w:jc w:val="both"/>
      </w:pPr>
      <w:r>
        <w:rPr>
          <w:rFonts w:ascii="Arial" w:eastAsia="Arial" w:hAnsi="Arial" w:cs="Arial"/>
          <w:b/>
          <w:bCs/>
          <w:color w:val="333333"/>
          <w:sz w:val="22"/>
          <w:szCs w:val="22"/>
        </w:rPr>
        <w:t xml:space="preserve">Response considerations: </w:t>
      </w:r>
      <w:r>
        <w:rPr>
          <w:rFonts w:ascii="Arial" w:eastAsia="Arial" w:hAnsi="Arial" w:cs="Arial"/>
          <w:color w:val="333333"/>
          <w:sz w:val="22"/>
          <w:szCs w:val="22"/>
        </w:rPr>
        <w:t>Spain is the highest-current-pressure EU jurisdiction. Mas-Montserrat et al. (2025) found that 92.6% of revenue lost to avoidance comes from strategic exploitation of the income/wealth liability cap. This avenue is increasingly contested and likely to be narrowed. Spanish residents should not rely on cap-based planning as a long-term defense. Genuine relocation, with attention to the 7.96 mobility elasticity documented in Madrid arbitrage, is the most robust response.</w:t>
      </w:r>
    </w:p>
    <w:p w14:paraId="34E54067" w14:textId="77777777" w:rsidR="00C95D95" w:rsidRDefault="00000000">
      <w:pPr>
        <w:pBdr>
          <w:bottom w:val="single" w:sz="6" w:space="4" w:color="C5993E"/>
        </w:pBdr>
        <w:spacing w:before="360" w:after="200"/>
      </w:pPr>
      <w:r>
        <w:rPr>
          <w:rFonts w:ascii="Arial" w:eastAsia="Arial" w:hAnsi="Arial" w:cs="Arial"/>
          <w:b/>
          <w:bCs/>
          <w:color w:val="0F1A2E"/>
          <w:sz w:val="30"/>
          <w:szCs w:val="30"/>
        </w:rPr>
        <w:t>The Other 22 EU Jurisdictions</w:t>
      </w:r>
    </w:p>
    <w:p w14:paraId="59E476D3" w14:textId="77777777" w:rsidR="00C95D95" w:rsidRDefault="00000000">
      <w:pPr>
        <w:spacing w:after="200" w:line="300" w:lineRule="auto"/>
        <w:jc w:val="both"/>
      </w:pPr>
      <w:r>
        <w:rPr>
          <w:rFonts w:ascii="Arial" w:eastAsia="Arial" w:hAnsi="Arial" w:cs="Arial"/>
          <w:color w:val="333333"/>
          <w:sz w:val="22"/>
          <w:szCs w:val="22"/>
        </w:rPr>
        <w:t>The Commission’s study covers six jurisdictions in detail (Austria, Germany, France, Colombia, Switzerland, Spain) plus Norway. The other twenty-two EU member states face similar fiscal pressures and political dynamics, though specific timelines vary. The Netherlands has a deemed-return capital tax (Box 3) currently being reformed. Belgium has discussions ongoing. Italy has a wealth-tax-equivalent on foreign assets (IVAFE) and active proposals for a broader regime. Each jurisdiction follows the same general trajectory: pressure mounts, political proposals emerge, technical and constitutional barriers fall, and architecture from the surviving regimes (particularly Spain’s TSTLF and Norway’s enforcement model) is adapted and adopted.</w:t>
      </w:r>
    </w:p>
    <w:p w14:paraId="2CAF5A77" w14:textId="77777777" w:rsidR="00C95D95" w:rsidRDefault="00000000">
      <w:pPr>
        <w:spacing w:after="200" w:line="300" w:lineRule="auto"/>
        <w:jc w:val="both"/>
      </w:pPr>
      <w:r>
        <w:rPr>
          <w:rFonts w:ascii="Arial" w:eastAsia="Arial" w:hAnsi="Arial" w:cs="Arial"/>
          <w:color w:val="333333"/>
          <w:sz w:val="22"/>
          <w:szCs w:val="22"/>
        </w:rPr>
        <w:t xml:space="preserve">EU citizens in any member state should treat the absence of a current wealth tax as a temporary condition rather than a structural feature. </w:t>
      </w:r>
      <w:r>
        <w:rPr>
          <w:rFonts w:ascii="Arial" w:eastAsia="Arial" w:hAnsi="Arial" w:cs="Arial"/>
          <w:b/>
          <w:bCs/>
          <w:color w:val="333333"/>
          <w:sz w:val="22"/>
          <w:szCs w:val="22"/>
        </w:rPr>
        <w:t>The wealth-tax-equivalent measures already operating in many jurisdictions (deemed-return systems, asset-specific levies, presumptive taxation) represent partial implementations that can be expanded.</w:t>
      </w:r>
    </w:p>
    <w:p w14:paraId="5E2E4A97" w14:textId="77777777" w:rsidR="00C95D95" w:rsidRDefault="00000000">
      <w:pPr>
        <w:pBdr>
          <w:bottom w:val="single" w:sz="8" w:space="6" w:color="C5993E"/>
        </w:pBdr>
        <w:spacing w:before="480" w:after="240"/>
      </w:pPr>
      <w:r>
        <w:rPr>
          <w:rFonts w:ascii="Arial" w:eastAsia="Arial" w:hAnsi="Arial" w:cs="Arial"/>
          <w:b/>
          <w:bCs/>
          <w:color w:val="0F1A2E"/>
          <w:sz w:val="36"/>
          <w:szCs w:val="36"/>
        </w:rPr>
        <w:t>Part V: The CI Mavericks Position</w:t>
      </w:r>
    </w:p>
    <w:p w14:paraId="30F06803" w14:textId="77777777" w:rsidR="00C95D95" w:rsidRDefault="00000000">
      <w:pPr>
        <w:spacing w:after="200" w:line="300" w:lineRule="auto"/>
        <w:jc w:val="both"/>
      </w:pPr>
      <w:r>
        <w:rPr>
          <w:rFonts w:ascii="Arial" w:eastAsia="Arial" w:hAnsi="Arial" w:cs="Arial"/>
          <w:color w:val="333333"/>
          <w:sz w:val="22"/>
          <w:szCs w:val="22"/>
        </w:rPr>
        <w:t>The Commission’s study, taken at face value, is a careful empirical analysis of historical wealth-tax regimes. Taken seriously as a policy document, it is a working manual for how Europe intends to revive and coordinate wealth taxation in the coming decade. The empirical findings — many of them unfavorable to the policy — are presented honestly. The strategic implications are left implicit but are unmistakable to a careful reader.</w:t>
      </w:r>
    </w:p>
    <w:p w14:paraId="11D2F6D0" w14:textId="77777777" w:rsidR="00C95D95" w:rsidRDefault="00000000">
      <w:pPr>
        <w:spacing w:after="200" w:line="300" w:lineRule="auto"/>
        <w:jc w:val="both"/>
      </w:pPr>
      <w:r>
        <w:rPr>
          <w:rFonts w:ascii="Arial" w:eastAsia="Arial" w:hAnsi="Arial" w:cs="Arial"/>
          <w:color w:val="333333"/>
          <w:sz w:val="22"/>
          <w:szCs w:val="22"/>
        </w:rPr>
        <w:lastRenderedPageBreak/>
        <w:t xml:space="preserve">The CI Mavericks position is that </w:t>
      </w:r>
      <w:r>
        <w:rPr>
          <w:rFonts w:ascii="Arial" w:eastAsia="Arial" w:hAnsi="Arial" w:cs="Arial"/>
          <w:b/>
          <w:bCs/>
          <w:color w:val="333333"/>
          <w:sz w:val="22"/>
          <w:szCs w:val="22"/>
        </w:rPr>
        <w:t>the era of meaningful jurisdictional choice for European wealth is closing,</w:t>
      </w:r>
      <w:r>
        <w:rPr>
          <w:rFonts w:ascii="Arial" w:eastAsia="Arial" w:hAnsi="Arial" w:cs="Arial"/>
          <w:color w:val="333333"/>
          <w:sz w:val="22"/>
          <w:szCs w:val="22"/>
        </w:rPr>
        <w:t xml:space="preserve"> and that EU citizens with wealth, businesses, or future inheritances at stake should treat decisions made now as substantially more consequential than decisions delayed. This is not because the world is ending, or because any specific catastrophic policy is imminent, but because the cost of optionality rises monotonically as the regulatory framework tightens. The window during which one can leave without paying for the leaving is shrinking. The window during which one can structure without retroactive scrutiny is shrinking. The window during which jurisdictions outside the harmonization perimeter remain open and welcoming is also, in a different sense, shrinking — driven by their own internal dynamics and by external pressure.</w:t>
      </w:r>
    </w:p>
    <w:p w14:paraId="6553341F" w14:textId="77777777" w:rsidR="00C95D95" w:rsidRDefault="00000000">
      <w:pPr>
        <w:spacing w:after="200" w:line="300" w:lineRule="auto"/>
        <w:jc w:val="both"/>
      </w:pPr>
      <w:r>
        <w:rPr>
          <w:rFonts w:ascii="Arial" w:eastAsia="Arial" w:hAnsi="Arial" w:cs="Arial"/>
          <w:i/>
          <w:iCs/>
          <w:color w:val="333333"/>
          <w:sz w:val="22"/>
          <w:szCs w:val="22"/>
        </w:rPr>
        <w:t>None of this is to counsel panic. Panic is itself a form of fiscal capture, because it produces hasty decisions that are typically wrong. The correct response is the one that has been correct in every era of fiscal expansion: deliberate, informed, well-documented planning that prioritizes substantive jurisdictional alignment over paper structures, and that builds resilience against the specific failure modes that prior generations encountered. The Commission’s study is, among other things, a free education in those failure modes.</w:t>
      </w:r>
    </w:p>
    <w:p w14:paraId="440369B2" w14:textId="77777777" w:rsidR="00C95D95" w:rsidRDefault="00C95D95">
      <w:pPr>
        <w:spacing w:after="120"/>
      </w:pPr>
    </w:p>
    <w:tbl>
      <w:tblPr>
        <w:tblW w:w="936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left w:w="10" w:type="dxa"/>
          <w:right w:w="10" w:type="dxa"/>
        </w:tblCellMar>
        <w:tblLook w:val="04A0" w:firstRow="1" w:lastRow="0" w:firstColumn="1" w:lastColumn="0" w:noHBand="0" w:noVBand="1"/>
      </w:tblPr>
      <w:tblGrid>
        <w:gridCol w:w="9360"/>
      </w:tblGrid>
      <w:tr w:rsidR="00C95D95" w14:paraId="7E2FC5C5" w14:textId="77777777">
        <w:tblPrEx>
          <w:tblCellMar>
            <w:top w:w="0" w:type="dxa"/>
            <w:bottom w:w="0" w:type="dxa"/>
          </w:tblCellMar>
        </w:tblPrEx>
        <w:tc>
          <w:tcPr>
            <w:tcW w:w="9360" w:type="dxa"/>
            <w:tcBorders>
              <w:top w:val="single" w:sz="8" w:space="0" w:color="C5993E"/>
              <w:left w:val="single" w:sz="8" w:space="0" w:color="C5993E"/>
              <w:bottom w:val="single" w:sz="8" w:space="0" w:color="C5993E"/>
              <w:right w:val="single" w:sz="8" w:space="0" w:color="C5993E"/>
            </w:tcBorders>
            <w:shd w:val="clear" w:color="auto" w:fill="F5EDD6"/>
            <w:tcMar>
              <w:top w:w="280" w:type="dxa"/>
              <w:left w:w="320" w:type="dxa"/>
              <w:bottom w:w="280" w:type="dxa"/>
              <w:right w:w="320" w:type="dxa"/>
            </w:tcMar>
          </w:tcPr>
          <w:p w14:paraId="51FAA2BC" w14:textId="77777777" w:rsidR="00C95D95" w:rsidRDefault="00000000">
            <w:pPr>
              <w:spacing w:after="140"/>
            </w:pPr>
            <w:r>
              <w:rPr>
                <w:rFonts w:ascii="Arial" w:eastAsia="Arial" w:hAnsi="Arial" w:cs="Arial"/>
                <w:b/>
                <w:bCs/>
                <w:color w:val="0F1A2E"/>
                <w:sz w:val="22"/>
                <w:szCs w:val="22"/>
              </w:rPr>
              <w:t>THE CI MAVERICKS POSITION</w:t>
            </w:r>
          </w:p>
          <w:p w14:paraId="1741F4AB" w14:textId="77777777" w:rsidR="00C95D95" w:rsidRDefault="00000000">
            <w:pPr>
              <w:spacing w:after="240"/>
            </w:pPr>
            <w:r>
              <w:rPr>
                <w:rFonts w:ascii="Arial" w:eastAsia="Arial" w:hAnsi="Arial" w:cs="Arial"/>
                <w:i/>
                <w:iCs/>
                <w:color w:val="333333"/>
                <w:sz w:val="22"/>
                <w:szCs w:val="22"/>
              </w:rPr>
              <w:t>The era of meaningful jurisdictional choice for European wealth is closing. The cost of optionality rises monotonically as the regulatory framework tightens.</w:t>
            </w:r>
          </w:p>
          <w:p w14:paraId="58540CF3" w14:textId="77777777" w:rsidR="00C95D95" w:rsidRDefault="00000000">
            <w:pPr>
              <w:spacing w:after="160"/>
            </w:pPr>
            <w:r>
              <w:rPr>
                <w:rFonts w:ascii="Arial" w:eastAsia="Arial" w:hAnsi="Arial" w:cs="Arial"/>
                <w:b/>
                <w:bCs/>
                <w:color w:val="333333"/>
                <w:sz w:val="22"/>
                <w:szCs w:val="22"/>
              </w:rPr>
              <w:t>EU citizens of means face a choice that is increasingly explicit:</w:t>
            </w:r>
          </w:p>
          <w:p w14:paraId="2B81B566" w14:textId="77777777" w:rsidR="00C95D95" w:rsidRDefault="00000000">
            <w:pPr>
              <w:pStyle w:val="ListParagraph"/>
              <w:numPr>
                <w:ilvl w:val="0"/>
                <w:numId w:val="3"/>
              </w:numPr>
              <w:spacing w:after="100" w:line="280" w:lineRule="auto"/>
            </w:pPr>
            <w:r>
              <w:rPr>
                <w:rFonts w:ascii="Arial" w:eastAsia="Arial" w:hAnsi="Arial" w:cs="Arial"/>
                <w:color w:val="333333"/>
                <w:sz w:val="22"/>
                <w:szCs w:val="22"/>
              </w:rPr>
              <w:t>Align with the harmonization agenda and accept its trajectory.</w:t>
            </w:r>
          </w:p>
          <w:p w14:paraId="2A18CBD8" w14:textId="77777777" w:rsidR="00C95D95" w:rsidRDefault="00000000">
            <w:pPr>
              <w:pStyle w:val="ListParagraph"/>
              <w:numPr>
                <w:ilvl w:val="0"/>
                <w:numId w:val="3"/>
              </w:numPr>
              <w:spacing w:after="240" w:line="280" w:lineRule="auto"/>
            </w:pPr>
            <w:r>
              <w:rPr>
                <w:rFonts w:ascii="Arial" w:eastAsia="Arial" w:hAnsi="Arial" w:cs="Arial"/>
                <w:color w:val="333333"/>
                <w:sz w:val="22"/>
                <w:szCs w:val="22"/>
              </w:rPr>
              <w:t>Position outside it — deliberately, with substance, before the windows close.</w:t>
            </w:r>
          </w:p>
          <w:p w14:paraId="1450E361" w14:textId="77777777" w:rsidR="00C95D95" w:rsidRDefault="00000000">
            <w:r>
              <w:rPr>
                <w:rFonts w:ascii="Arial" w:eastAsia="Arial" w:hAnsi="Arial" w:cs="Arial"/>
                <w:b/>
                <w:bCs/>
                <w:color w:val="0F1A2E"/>
                <w:sz w:val="22"/>
                <w:szCs w:val="22"/>
              </w:rPr>
              <w:t>Neither choice is wrong. Both choices are increasingly expensive to defer.</w:t>
            </w:r>
          </w:p>
        </w:tc>
      </w:tr>
    </w:tbl>
    <w:p w14:paraId="09C305FD" w14:textId="77777777" w:rsidR="00C95D95" w:rsidRDefault="00C95D95">
      <w:pPr>
        <w:spacing w:after="240"/>
      </w:pPr>
    </w:p>
    <w:p w14:paraId="19C97249" w14:textId="77777777" w:rsidR="00C95D95" w:rsidRDefault="00000000">
      <w:pPr>
        <w:spacing w:after="200" w:line="300" w:lineRule="auto"/>
        <w:jc w:val="both"/>
      </w:pPr>
      <w:r>
        <w:rPr>
          <w:rFonts w:ascii="Arial" w:eastAsia="Arial" w:hAnsi="Arial" w:cs="Arial"/>
          <w:color w:val="333333"/>
          <w:sz w:val="22"/>
          <w:szCs w:val="22"/>
        </w:rPr>
        <w:t>CI Mavericks Advisory Services is built around the second choice. We exist to help clients build genuine, substantive alternatives to fiscal regimes that have demonstrated, over and over again, that they cannot self-limit. The wealth-tax history laid out in the European Commission’s own study is the strongest possible argument for our work. We invite readers who recognize themselves in this analysis to reach out for a confidential consultation.</w:t>
      </w:r>
    </w:p>
    <w:p w14:paraId="603216E9" w14:textId="77777777" w:rsidR="00C95D95" w:rsidRDefault="00000000">
      <w:pPr>
        <w:spacing w:before="360" w:after="120"/>
      </w:pPr>
      <w:r>
        <w:rPr>
          <w:rFonts w:ascii="Arial" w:eastAsia="Arial" w:hAnsi="Arial" w:cs="Arial"/>
          <w:b/>
          <w:bCs/>
          <w:color w:val="0F1A2E"/>
          <w:sz w:val="22"/>
          <w:szCs w:val="22"/>
        </w:rPr>
        <w:t>Authored by CI Mavericks Editorial</w:t>
      </w:r>
    </w:p>
    <w:p w14:paraId="7CA5D1EA" w14:textId="77777777" w:rsidR="00C95D95" w:rsidRDefault="00000000">
      <w:pPr>
        <w:spacing w:after="120"/>
      </w:pPr>
      <w:r>
        <w:rPr>
          <w:rFonts w:ascii="Arial" w:eastAsia="Arial" w:hAnsi="Arial" w:cs="Arial"/>
          <w:i/>
          <w:iCs/>
          <w:color w:val="333333"/>
          <w:sz w:val="22"/>
          <w:szCs w:val="22"/>
        </w:rPr>
        <w:t>Reviewed by Dr. Charles Motsinger, M.D. — Director, CI Mavericks Advisory Services</w:t>
      </w:r>
    </w:p>
    <w:p w14:paraId="00730615" w14:textId="77777777" w:rsidR="00C95D95" w:rsidRDefault="00000000">
      <w:pPr>
        <w:spacing w:after="240"/>
      </w:pPr>
      <w:r>
        <w:rPr>
          <w:rFonts w:ascii="Arial" w:eastAsia="Arial" w:hAnsi="Arial" w:cs="Arial"/>
          <w:i/>
          <w:iCs/>
          <w:color w:val="333333"/>
          <w:sz w:val="22"/>
          <w:szCs w:val="22"/>
        </w:rPr>
        <w:t>An analysis of European Commission KP-01-26-015-EN-N, cross-referenced against our jurisdictional diligence framework.</w:t>
      </w:r>
    </w:p>
    <w:p w14:paraId="57BD01B5" w14:textId="77777777" w:rsidR="00C95D95" w:rsidRDefault="00000000">
      <w:pPr>
        <w:pBdr>
          <w:bottom w:val="single" w:sz="6" w:space="4" w:color="C5993E"/>
        </w:pBdr>
        <w:spacing w:before="360" w:after="200"/>
      </w:pPr>
      <w:r>
        <w:rPr>
          <w:rFonts w:ascii="Arial" w:eastAsia="Arial" w:hAnsi="Arial" w:cs="Arial"/>
          <w:b/>
          <w:bCs/>
          <w:color w:val="0F1A2E"/>
          <w:sz w:val="30"/>
          <w:szCs w:val="30"/>
        </w:rPr>
        <w:lastRenderedPageBreak/>
        <w:t>Appendix: Primary Source</w:t>
      </w:r>
    </w:p>
    <w:p w14:paraId="08F771CC" w14:textId="77777777" w:rsidR="00C95D95" w:rsidRDefault="00000000">
      <w:pPr>
        <w:spacing w:after="200" w:line="300" w:lineRule="auto"/>
        <w:jc w:val="both"/>
      </w:pPr>
      <w:r>
        <w:rPr>
          <w:rFonts w:ascii="Arial" w:eastAsia="Arial" w:hAnsi="Arial" w:cs="Arial"/>
          <w:color w:val="333333"/>
          <w:sz w:val="22"/>
          <w:szCs w:val="22"/>
        </w:rPr>
        <w:t>This report draws primarily on:</w:t>
      </w:r>
    </w:p>
    <w:p w14:paraId="17D55369" w14:textId="77777777" w:rsidR="00C95D95" w:rsidRDefault="00000000">
      <w:pPr>
        <w:spacing w:after="200" w:line="300" w:lineRule="auto"/>
        <w:jc w:val="both"/>
      </w:pPr>
      <w:r>
        <w:rPr>
          <w:rFonts w:ascii="Arial" w:eastAsia="Arial" w:hAnsi="Arial" w:cs="Arial"/>
          <w:i/>
          <w:iCs/>
          <w:color w:val="333333"/>
          <w:sz w:val="22"/>
          <w:szCs w:val="22"/>
        </w:rPr>
        <w:t>European Commission, CASE, Robaszewski, A., Skowronek, A., Płonka, H. et al., Wealth Taxation, Including Net Wealth, Capital and Exit Taxes: Volume 2, Publications Office of the European Union, Luxembourg, 2026. Document reference KP-01-26-015-EN-N. ISBN 978-92-68-38939-3. doi:10.2778/5750792.</w:t>
      </w:r>
    </w:p>
    <w:p w14:paraId="6DEDB4BD" w14:textId="77777777" w:rsidR="00C95D95" w:rsidRDefault="00000000">
      <w:pPr>
        <w:spacing w:after="200" w:line="300" w:lineRule="auto"/>
        <w:jc w:val="both"/>
      </w:pPr>
      <w:r>
        <w:rPr>
          <w:rFonts w:ascii="Arial" w:eastAsia="Arial" w:hAnsi="Arial" w:cs="Arial"/>
          <w:color w:val="333333"/>
          <w:sz w:val="22"/>
          <w:szCs w:val="22"/>
        </w:rPr>
        <w:t>All factual claims about specific tax regimes, rates, thresholds, behavioral elasticities, and political dynamics in this report are sourced from the case studies in that document. Quotations are kept brief and limited to factual content; readers seeking comprehensive treatment of any specific jurisdiction should consult the original document, which is openly licensed under CC BY 4.0.</w:t>
      </w:r>
    </w:p>
    <w:p w14:paraId="533BAF72" w14:textId="77777777" w:rsidR="00C95D95" w:rsidRDefault="00000000">
      <w:pPr>
        <w:spacing w:after="200" w:line="300" w:lineRule="auto"/>
        <w:jc w:val="both"/>
      </w:pPr>
      <w:r>
        <w:rPr>
          <w:rFonts w:ascii="Arial" w:eastAsia="Arial" w:hAnsi="Arial" w:cs="Arial"/>
          <w:color w:val="333333"/>
          <w:sz w:val="22"/>
          <w:szCs w:val="22"/>
        </w:rPr>
        <w:t>The Commission’s study itself draws on extensive academic literature, including key works by Bach et al. (multiple papers, 2016–2025), Brülhart et al. (2022), Garbinti et al. (2024), Saez &amp; Zucman (2019, 2022), Londoño-Vélez &amp; Ávila-Mahecha (2021, 2024), Marti et al. (2023), Mas-Montserrat et al. (2025), Halvorsen &amp; Thoresen (2021), and Heck et al. (2024). Readers wishing to engage with the underlying empirical literature can use the Commission’s bibliography as a starting point.</w:t>
      </w:r>
    </w:p>
    <w:p w14:paraId="33C67AC3" w14:textId="77777777" w:rsidR="00C95D95" w:rsidRDefault="00C95D95">
      <w:pPr>
        <w:spacing w:after="240"/>
      </w:pPr>
    </w:p>
    <w:p w14:paraId="60605637" w14:textId="77777777" w:rsidR="00C95D95" w:rsidRDefault="00000000">
      <w:pPr>
        <w:spacing w:before="240" w:after="120"/>
      </w:pPr>
      <w:r>
        <w:rPr>
          <w:rFonts w:ascii="Arial" w:eastAsia="Arial" w:hAnsi="Arial" w:cs="Arial"/>
          <w:b/>
          <w:bCs/>
          <w:color w:val="0F1A2E"/>
          <w:sz w:val="22"/>
          <w:szCs w:val="22"/>
        </w:rPr>
        <w:t>Disclaimer</w:t>
      </w:r>
    </w:p>
    <w:p w14:paraId="6AD871D7" w14:textId="77777777" w:rsidR="00C95D95" w:rsidRDefault="00000000">
      <w:pPr>
        <w:spacing w:line="280" w:lineRule="auto"/>
        <w:jc w:val="both"/>
      </w:pPr>
      <w:r>
        <w:rPr>
          <w:rFonts w:ascii="Arial" w:eastAsia="Arial" w:hAnsi="Arial" w:cs="Arial"/>
          <w:i/>
          <w:iCs/>
          <w:color w:val="333333"/>
        </w:rPr>
        <w:t>This article is for informational and educational purposes only. It does not constitute legal, tax, financial, or immigration advice, and should not be relied upon as such. Tax residency, offshore structuring, exit-tax planning, and inheritance planning vary materially by individual circumstance and are subject to change. Specific planning decisions should be made in consultation with qualified professionals in the relevant jurisdictions. CI Mavericks Advisory Services does not represent that any specific jurisdiction or strategy is suitable for any particular individual. All views expressed are those of CI Mavericks Editorial.</w:t>
      </w:r>
    </w:p>
    <w:sectPr w:rsidR="00C95D95">
      <w:headerReference w:type="default" r:id="rId7"/>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9755" w14:textId="77777777" w:rsidR="00B615BE" w:rsidRDefault="00B615BE">
      <w:r>
        <w:separator/>
      </w:r>
    </w:p>
  </w:endnote>
  <w:endnote w:type="continuationSeparator" w:id="0">
    <w:p w14:paraId="11FEF86A" w14:textId="77777777" w:rsidR="00B615BE" w:rsidRDefault="00B6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CCF3" w14:textId="77777777" w:rsidR="00C95D95" w:rsidRDefault="00000000">
    <w:pPr>
      <w:pBdr>
        <w:top w:val="single" w:sz="6" w:space="6" w:color="C5993E"/>
      </w:pBdr>
      <w:tabs>
        <w:tab w:val="right" w:pos="9360"/>
      </w:tabs>
    </w:pPr>
    <w:r>
      <w:rPr>
        <w:rFonts w:ascii="Arial" w:eastAsia="Arial" w:hAnsi="Arial" w:cs="Arial"/>
        <w:i/>
        <w:iCs/>
        <w:color w:val="666666"/>
        <w:sz w:val="16"/>
        <w:szCs w:val="16"/>
      </w:rPr>
      <w:t>Active Advisory. Real Investment. Genuine Expertise.</w:t>
    </w:r>
    <w:r>
      <w:rPr>
        <w:rFonts w:ascii="Arial" w:eastAsia="Arial" w:hAnsi="Arial" w:cs="Arial"/>
        <w:color w:val="666666"/>
        <w:sz w:val="16"/>
        <w:szCs w:val="16"/>
      </w:rPr>
      <w:tab/>
      <w:t>CI Mavericks Advisory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D29A" w14:textId="77777777" w:rsidR="00B615BE" w:rsidRDefault="00B615BE">
      <w:r>
        <w:separator/>
      </w:r>
    </w:p>
  </w:footnote>
  <w:footnote w:type="continuationSeparator" w:id="0">
    <w:p w14:paraId="5AD62F1C" w14:textId="77777777" w:rsidR="00B615BE" w:rsidRDefault="00B6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DC44" w14:textId="77777777" w:rsidR="00C95D95" w:rsidRDefault="00000000">
    <w:pPr>
      <w:spacing w:after="60"/>
    </w:pPr>
    <w:r>
      <w:rPr>
        <w:noProof/>
      </w:rPr>
      <w:drawing>
        <wp:inline distT="0" distB="0" distL="0" distR="0" wp14:anchorId="43C65315" wp14:editId="2A6E1A08">
          <wp:extent cx="128587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85875" cy="438150"/>
                  </a:xfrm>
                  <a:prstGeom prst="rect">
                    <a:avLst/>
                  </a:prstGeom>
                </pic:spPr>
              </pic:pic>
            </a:graphicData>
          </a:graphic>
        </wp:inline>
      </w:drawing>
    </w:r>
  </w:p>
  <w:p w14:paraId="7D76FD6F" w14:textId="77777777" w:rsidR="00C95D95" w:rsidRDefault="00C95D95">
    <w:pPr>
      <w:pBdr>
        <w:bottom w:val="single" w:sz="6" w:space="6" w:color="C5993E"/>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0784"/>
    <w:multiLevelType w:val="hybridMultilevel"/>
    <w:tmpl w:val="FA24016A"/>
    <w:lvl w:ilvl="0" w:tplc="B7E8E57A">
      <w:start w:val="1"/>
      <w:numFmt w:val="bullet"/>
      <w:lvlText w:val="•"/>
      <w:lvlJc w:val="left"/>
      <w:pPr>
        <w:ind w:left="720" w:hanging="360"/>
      </w:pPr>
    </w:lvl>
    <w:lvl w:ilvl="1" w:tplc="391EBEB6">
      <w:numFmt w:val="decimal"/>
      <w:lvlText w:val=""/>
      <w:lvlJc w:val="left"/>
    </w:lvl>
    <w:lvl w:ilvl="2" w:tplc="DB92EA12">
      <w:numFmt w:val="decimal"/>
      <w:lvlText w:val=""/>
      <w:lvlJc w:val="left"/>
    </w:lvl>
    <w:lvl w:ilvl="3" w:tplc="70FCFB18">
      <w:numFmt w:val="decimal"/>
      <w:lvlText w:val=""/>
      <w:lvlJc w:val="left"/>
    </w:lvl>
    <w:lvl w:ilvl="4" w:tplc="4F8E9258">
      <w:numFmt w:val="decimal"/>
      <w:lvlText w:val=""/>
      <w:lvlJc w:val="left"/>
    </w:lvl>
    <w:lvl w:ilvl="5" w:tplc="A414295E">
      <w:numFmt w:val="decimal"/>
      <w:lvlText w:val=""/>
      <w:lvlJc w:val="left"/>
    </w:lvl>
    <w:lvl w:ilvl="6" w:tplc="74901A00">
      <w:numFmt w:val="decimal"/>
      <w:lvlText w:val=""/>
      <w:lvlJc w:val="left"/>
    </w:lvl>
    <w:lvl w:ilvl="7" w:tplc="D4B8426A">
      <w:numFmt w:val="decimal"/>
      <w:lvlText w:val=""/>
      <w:lvlJc w:val="left"/>
    </w:lvl>
    <w:lvl w:ilvl="8" w:tplc="473E677E">
      <w:numFmt w:val="decimal"/>
      <w:lvlText w:val=""/>
      <w:lvlJc w:val="left"/>
    </w:lvl>
  </w:abstractNum>
  <w:abstractNum w:abstractNumId="1" w15:restartNumberingAfterBreak="0">
    <w:nsid w:val="68B47D4B"/>
    <w:multiLevelType w:val="hybridMultilevel"/>
    <w:tmpl w:val="152E0448"/>
    <w:lvl w:ilvl="0" w:tplc="C18A7782">
      <w:start w:val="1"/>
      <w:numFmt w:val="decimal"/>
      <w:lvlText w:val="%1."/>
      <w:lvlJc w:val="left"/>
      <w:pPr>
        <w:ind w:left="480" w:hanging="320"/>
      </w:pPr>
    </w:lvl>
    <w:lvl w:ilvl="1" w:tplc="3B769398">
      <w:numFmt w:val="decimal"/>
      <w:lvlText w:val=""/>
      <w:lvlJc w:val="left"/>
    </w:lvl>
    <w:lvl w:ilvl="2" w:tplc="DD2431F8">
      <w:numFmt w:val="decimal"/>
      <w:lvlText w:val=""/>
      <w:lvlJc w:val="left"/>
    </w:lvl>
    <w:lvl w:ilvl="3" w:tplc="8138DFF2">
      <w:numFmt w:val="decimal"/>
      <w:lvlText w:val=""/>
      <w:lvlJc w:val="left"/>
    </w:lvl>
    <w:lvl w:ilvl="4" w:tplc="FE12C208">
      <w:numFmt w:val="decimal"/>
      <w:lvlText w:val=""/>
      <w:lvlJc w:val="left"/>
    </w:lvl>
    <w:lvl w:ilvl="5" w:tplc="22C06CFC">
      <w:numFmt w:val="decimal"/>
      <w:lvlText w:val=""/>
      <w:lvlJc w:val="left"/>
    </w:lvl>
    <w:lvl w:ilvl="6" w:tplc="7E44877C">
      <w:numFmt w:val="decimal"/>
      <w:lvlText w:val=""/>
      <w:lvlJc w:val="left"/>
    </w:lvl>
    <w:lvl w:ilvl="7" w:tplc="451CCEBC">
      <w:numFmt w:val="decimal"/>
      <w:lvlText w:val=""/>
      <w:lvlJc w:val="left"/>
    </w:lvl>
    <w:lvl w:ilvl="8" w:tplc="8EFE4604">
      <w:numFmt w:val="decimal"/>
      <w:lvlText w:val=""/>
      <w:lvlJc w:val="left"/>
    </w:lvl>
  </w:abstractNum>
  <w:abstractNum w:abstractNumId="2" w15:restartNumberingAfterBreak="0">
    <w:nsid w:val="7DE80C90"/>
    <w:multiLevelType w:val="hybridMultilevel"/>
    <w:tmpl w:val="5136D496"/>
    <w:lvl w:ilvl="0" w:tplc="394EE6C2">
      <w:start w:val="1"/>
      <w:numFmt w:val="bullet"/>
      <w:lvlText w:val="●"/>
      <w:lvlJc w:val="left"/>
      <w:pPr>
        <w:ind w:left="720" w:hanging="360"/>
      </w:pPr>
    </w:lvl>
    <w:lvl w:ilvl="1" w:tplc="57EA4294">
      <w:start w:val="1"/>
      <w:numFmt w:val="bullet"/>
      <w:lvlText w:val="○"/>
      <w:lvlJc w:val="left"/>
      <w:pPr>
        <w:ind w:left="1440" w:hanging="360"/>
      </w:pPr>
    </w:lvl>
    <w:lvl w:ilvl="2" w:tplc="8B2A73B6">
      <w:start w:val="1"/>
      <w:numFmt w:val="bullet"/>
      <w:lvlText w:val="■"/>
      <w:lvlJc w:val="left"/>
      <w:pPr>
        <w:ind w:left="2160" w:hanging="360"/>
      </w:pPr>
    </w:lvl>
    <w:lvl w:ilvl="3" w:tplc="8248906E">
      <w:start w:val="1"/>
      <w:numFmt w:val="bullet"/>
      <w:lvlText w:val="●"/>
      <w:lvlJc w:val="left"/>
      <w:pPr>
        <w:ind w:left="2880" w:hanging="360"/>
      </w:pPr>
    </w:lvl>
    <w:lvl w:ilvl="4" w:tplc="66F403EA">
      <w:start w:val="1"/>
      <w:numFmt w:val="bullet"/>
      <w:lvlText w:val="○"/>
      <w:lvlJc w:val="left"/>
      <w:pPr>
        <w:ind w:left="3600" w:hanging="360"/>
      </w:pPr>
    </w:lvl>
    <w:lvl w:ilvl="5" w:tplc="91C0DA0E">
      <w:start w:val="1"/>
      <w:numFmt w:val="bullet"/>
      <w:lvlText w:val="■"/>
      <w:lvlJc w:val="left"/>
      <w:pPr>
        <w:ind w:left="4320" w:hanging="360"/>
      </w:pPr>
    </w:lvl>
    <w:lvl w:ilvl="6" w:tplc="D1E25334">
      <w:start w:val="1"/>
      <w:numFmt w:val="bullet"/>
      <w:lvlText w:val="●"/>
      <w:lvlJc w:val="left"/>
      <w:pPr>
        <w:ind w:left="5040" w:hanging="360"/>
      </w:pPr>
    </w:lvl>
    <w:lvl w:ilvl="7" w:tplc="5EAE9C3E">
      <w:start w:val="1"/>
      <w:numFmt w:val="bullet"/>
      <w:lvlText w:val="●"/>
      <w:lvlJc w:val="left"/>
      <w:pPr>
        <w:ind w:left="5760" w:hanging="360"/>
      </w:pPr>
    </w:lvl>
    <w:lvl w:ilvl="8" w:tplc="A074F63C">
      <w:start w:val="1"/>
      <w:numFmt w:val="bullet"/>
      <w:lvlText w:val="●"/>
      <w:lvlJc w:val="left"/>
      <w:pPr>
        <w:ind w:left="6480" w:hanging="360"/>
      </w:pPr>
    </w:lvl>
  </w:abstractNum>
  <w:num w:numId="1" w16cid:durableId="1379474373">
    <w:abstractNumId w:val="2"/>
    <w:lvlOverride w:ilvl="0">
      <w:startOverride w:val="1"/>
    </w:lvlOverride>
  </w:num>
  <w:num w:numId="2" w16cid:durableId="1007559854">
    <w:abstractNumId w:val="0"/>
    <w:lvlOverride w:ilvl="0">
      <w:startOverride w:val="1"/>
    </w:lvlOverride>
  </w:num>
  <w:num w:numId="3" w16cid:durableId="1955093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95"/>
    <w:rsid w:val="001257FC"/>
    <w:rsid w:val="00B615BE"/>
    <w:rsid w:val="00C95D95"/>
    <w:rsid w:val="00C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6AF3F"/>
  <w15:docId w15:val="{ECBA9684-4004-A649-99AF-1DEF6B15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5658</Words>
  <Characters>33654</Characters>
  <Application>Microsoft Office Word</Application>
  <DocSecurity>0</DocSecurity>
  <Lines>524</Lines>
  <Paragraphs>161</Paragraphs>
  <ScaleCrop>false</ScaleCrop>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Charles Motsinger</cp:lastModifiedBy>
  <cp:revision>2</cp:revision>
  <dcterms:created xsi:type="dcterms:W3CDTF">2026-05-04T20:29:00Z</dcterms:created>
  <dcterms:modified xsi:type="dcterms:W3CDTF">2026-05-04T20:29:00Z</dcterms:modified>
</cp:coreProperties>
</file>