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t xml:space="preserve"/>
      </w:r>
    </w:p>
    <w:p>
      <w:pPr>
        <w:spacing w:after="240" w:before="0"/>
        <w:jc w:val="center"/>
      </w:pPr>
      <w:r>
        <w:rPr>
          <w:rFonts w:ascii="Arial" w:cs="Arial" w:eastAsia="Arial" w:hAnsi="Arial"/>
          <w:b/>
          <w:bCs/>
          <w:color w:val="C5993E"/>
          <w:spacing w:val="120"/>
          <w:sz w:val="18"/>
          <w:szCs w:val="18"/>
        </w:rPr>
        <w:t xml:space="preserve">PRE-IPO INVESTMENT ANALYSIS</w:t>
      </w:r>
    </w:p>
    <w:p>
      <w:pPr>
        <w:spacing w:after="120" w:before="0"/>
        <w:jc w:val="center"/>
      </w:pPr>
      <w:r>
        <w:rPr>
          <w:rFonts w:ascii="Arial" w:cs="Arial" w:eastAsia="Arial" w:hAnsi="Arial"/>
          <w:b/>
          <w:bCs/>
          <w:color w:val="0F1A2E"/>
          <w:sz w:val="64"/>
          <w:szCs w:val="64"/>
        </w:rPr>
        <w:t xml:space="preserve">SpaceX Pre-IPO</w:t>
      </w:r>
    </w:p>
    <w:p>
      <w:pPr>
        <w:spacing w:after="320" w:before="0"/>
        <w:jc w:val="center"/>
      </w:pPr>
      <w:r>
        <w:rPr>
          <w:rFonts w:ascii="Arial" w:cs="Arial" w:eastAsia="Arial" w:hAnsi="Arial"/>
          <w:b/>
          <w:bCs/>
          <w:color w:val="0F1A2E"/>
          <w:sz w:val="64"/>
          <w:szCs w:val="64"/>
        </w:rPr>
        <w:t xml:space="preserve">Investment Analysis</w:t>
      </w:r>
    </w:p>
    <w:p>
      <w:pPr>
        <w:spacing w:after="320" w:before="0"/>
        <w:jc w:val="center"/>
      </w:pPr>
      <w:r>
        <w:rPr>
          <w:rFonts w:ascii="Arial" w:cs="Arial" w:eastAsia="Arial" w:hAnsi="Arial"/>
          <w:color w:val="C5993E"/>
          <w:sz w:val="28"/>
          <w:szCs w:val="28"/>
        </w:rPr>
        <w:t xml:space="preserve">━━━━━━━━━━</w:t>
      </w:r>
    </w:p>
    <w:p>
      <w:pPr>
        <w:spacing w:after="800" w:before="0"/>
        <w:jc w:val="center"/>
      </w:pPr>
      <w:r>
        <w:rPr>
          <w:rFonts w:ascii="Arial" w:cs="Arial" w:eastAsia="Arial" w:hAnsi="Arial"/>
          <w:i/>
          <w:iCs/>
          <w:color w:val="4A5568"/>
          <w:sz w:val="28"/>
          <w:szCs w:val="28"/>
        </w:rPr>
        <w:t xml:space="preserve">Secondary Market Opportunity, Structure &amp; Risk Assessment</w:t>
      </w:r>
    </w:p>
    <w:p>
      <w:pPr>
        <w:spacing w:after="80" w:before="0"/>
        <w:jc w:val="center"/>
      </w:pPr>
      <w:r>
        <w:rPr>
          <w:rFonts w:ascii="Arial" w:cs="Arial" w:eastAsia="Arial" w:hAnsi="Arial"/>
          <w:b/>
          <w:bCs/>
          <w:color w:val="C5993E"/>
          <w:spacing w:val="80"/>
          <w:sz w:val="16"/>
          <w:szCs w:val="16"/>
        </w:rPr>
        <w:t xml:space="preserve">PREPARED BY</w:t>
      </w:r>
    </w:p>
    <w:p>
      <w:pPr>
        <w:spacing w:after="60" w:before="0"/>
        <w:jc w:val="center"/>
      </w:pPr>
      <w:r>
        <w:rPr>
          <w:rFonts w:ascii="Arial" w:cs="Arial" w:eastAsia="Arial" w:hAnsi="Arial"/>
          <w:b/>
          <w:bCs/>
          <w:color w:val="0F1A2E"/>
          <w:sz w:val="26"/>
          <w:szCs w:val="26"/>
        </w:rPr>
        <w:t xml:space="preserve">Gordon Goss, CIM PFP FCSI</w:t>
      </w:r>
    </w:p>
    <w:p>
      <w:pPr>
        <w:spacing w:after="60" w:before="0"/>
        <w:jc w:val="center"/>
      </w:pPr>
      <w:r>
        <w:rPr>
          <w:rFonts w:ascii="Arial" w:cs="Arial" w:eastAsia="Arial" w:hAnsi="Arial"/>
          <w:color w:val="4A5568"/>
          <w:sz w:val="22"/>
          <w:szCs w:val="22"/>
        </w:rPr>
        <w:t xml:space="preserve">Lead Financial Consultant</w:t>
      </w:r>
    </w:p>
    <w:p>
      <w:pPr>
        <w:spacing w:after="480" w:before="0"/>
        <w:jc w:val="center"/>
      </w:pPr>
      <w:r>
        <w:rPr>
          <w:rFonts w:ascii="Arial" w:cs="Arial" w:eastAsia="Arial" w:hAnsi="Arial"/>
          <w:i/>
          <w:iCs/>
          <w:color w:val="4A5568"/>
          <w:sz w:val="22"/>
          <w:szCs w:val="22"/>
        </w:rPr>
        <w:t xml:space="preserve">CI Mavericks Advisory Services</w:t>
      </w:r>
    </w:p>
    <w:p>
      <w:pPr>
        <w:spacing w:after="0" w:before="0"/>
        <w:jc w:val="center"/>
      </w:pPr>
      <w:r>
        <w:rPr>
          <w:rFonts w:ascii="Arial" w:cs="Arial" w:eastAsia="Arial" w:hAnsi="Arial"/>
          <w:b/>
          <w:bCs/>
          <w:color w:val="0F1A2E"/>
          <w:sz w:val="22"/>
          <w:szCs w:val="22"/>
        </w:rPr>
        <w:t xml:space="preserve">April 2026</w:t>
      </w:r>
    </w:p>
    <w:p>
      <w:pPr>
        <w:spacing w:after="0" w:before="1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5993E" w:sz="24"/>
              <w:bottom w:val="none" w:color="FFFFFF" w:sz="0"/>
              <w:right w:val="none" w:color="FFFFFF" w:sz="0"/>
            </w:tcBorders>
            <w:shd w:fill="FAF6EC" w:val="clear"/>
            <w:tcMar>
              <w:top w:type="dxa" w:w="240"/>
              <w:left w:type="dxa" w:w="280"/>
              <w:bottom w:type="dxa" w:w="240"/>
              <w:right w:type="dxa" w:w="280"/>
            </w:tcMar>
          </w:tcPr>
          <w:p>
            <w:pPr>
              <w:spacing w:after="120" w:before="0"/>
            </w:pPr>
            <w:r>
              <w:rPr>
                <w:rFonts w:ascii="Arial" w:cs="Arial" w:eastAsia="Arial" w:hAnsi="Arial"/>
                <w:b/>
                <w:bCs/>
                <w:color w:val="C5993E"/>
                <w:spacing w:val="80"/>
                <w:sz w:val="18"/>
                <w:szCs w:val="18"/>
              </w:rPr>
              <w:t xml:space="preserve">IMPORTANT DISCLAIMER</w:t>
            </w:r>
          </w:p>
          <w:p>
            <w:pPr>
              <w:spacing w:after="100" w:before="0" w:line="300"/>
            </w:pPr>
            <w:r>
              <w:rPr>
                <w:rFonts w:ascii="Arial" w:cs="Arial" w:eastAsia="Arial" w:hAnsi="Arial"/>
                <w:i/>
                <w:iCs/>
                <w:color w:val="0F1A2E"/>
                <w:sz w:val="22"/>
                <w:szCs w:val="22"/>
              </w:rPr>
              <w:t xml:space="preserve">This report is intended solely for sophisticated, accredited investors. It does not constitute investment advice, a solicitation, or an offer to buy or sell any securities. Investment in pre-IPO or private securities involves substantial risk, including total loss of capital. Past performance is not indicative of future results.</w:t>
            </w:r>
          </w:p>
          <w:p>
            <w:pPr>
              <w:spacing w:after="100" w:before="0" w:line="300"/>
            </w:pPr>
            <w:r>
              <w:rPr>
                <w:rFonts w:ascii="Arial" w:cs="Arial" w:eastAsia="Arial" w:hAnsi="Arial"/>
                <w:i/>
                <w:iCs/>
                <w:color w:val="0F1A2E"/>
                <w:sz w:val="22"/>
                <w:szCs w:val="22"/>
              </w:rPr>
              <w:t xml:space="preserve">Recipients should consult qualified legal, tax, and financial advisors before making any investment decision.</w:t>
            </w:r>
          </w:p>
        </w:tc>
      </w:tr>
    </w:tbl>
    <w:p>
      <w:pPr>
        <w:pageBreakBefore/>
      </w:pPr>
      <w:r>
        <w:br/>
        <w:t xml:space="preserve"/>
      </w:r>
    </w:p>
    <w:p>
      <w:pPr>
        <w:spacing w:after="80" w:before="0"/>
      </w:pPr>
      <w:r>
        <w:rPr>
          <w:rFonts w:ascii="Arial" w:cs="Arial" w:eastAsia="Arial" w:hAnsi="Arial"/>
          <w:b/>
          <w:bCs/>
          <w:color w:val="C5993E"/>
          <w:spacing w:val="60"/>
          <w:sz w:val="16"/>
          <w:szCs w:val="16"/>
        </w:rPr>
        <w:t xml:space="preserve">SECTION 1</w:t>
      </w:r>
    </w:p>
    <w:p>
      <w:pPr>
        <w:pStyle w:val="Heading1"/>
        <w:spacing w:after="200" w:before="0"/>
      </w:pPr>
      <w:r>
        <w:rPr>
          <w:rFonts w:ascii="Arial" w:cs="Arial" w:eastAsia="Arial" w:hAnsi="Arial"/>
          <w:b/>
          <w:bCs/>
          <w:color w:val="0F1A2E"/>
          <w:sz w:val="44"/>
          <w:szCs w:val="44"/>
        </w:rPr>
        <w:t xml:space="preserve">Executive Summary</w:t>
      </w:r>
    </w:p>
    <w:p>
      <w:pPr>
        <w:pBdr>
          <w:bottom w:val="single" w:color="C5993E" w:sz="8" w:space="4"/>
        </w:pBdr>
        <w:spacing w:after="320" w:before="320"/>
      </w:pPr>
      <w:r>
        <w:t xml:space="preserve"/>
      </w:r>
    </w:p>
    <w:p>
      <w:pPr>
        <w:spacing w:after="160" w:before="0" w:line="320"/>
        <w:jc w:val="both"/>
      </w:pPr>
      <w:r>
        <w:rPr>
          <w:rFonts w:ascii="Arial" w:cs="Arial" w:eastAsia="Arial" w:hAnsi="Arial"/>
          <w:color w:val="1A1A1A"/>
          <w:sz w:val="22"/>
          <w:szCs w:val="22"/>
        </w:rPr>
        <w:t xml:space="preserve">Space Exploration Technologies Corp. (SpaceX), founded in 2002 by Elon Musk, has emerged as one of the most consequential private companies of the 21st century. With a valuation widely reported in the range of $350 billion to over $1 trillion on a post-money basis at various secondary market transactions — with the reference vehicle analyzed herein pricing shares at $421.00 per share against a $1.00T post-money valuation — SpaceX represents a rare opportunity to access a generational asset before any potential public offering.</w:t>
      </w:r>
    </w:p>
    <w:p>
      <w:pPr>
        <w:spacing w:after="160" w:before="0" w:line="320"/>
        <w:jc w:val="both"/>
      </w:pPr>
      <w:r>
        <w:rPr>
          <w:rFonts w:ascii="Arial" w:cs="Arial" w:eastAsia="Arial" w:hAnsi="Arial"/>
          <w:color w:val="1A1A1A"/>
          <w:sz w:val="22"/>
          <w:szCs w:val="22"/>
        </w:rPr>
        <w:t xml:space="preserve">This report has been commissioned to provide our client with a thorough, independent analysis of the investment opportunity, the mechanics and risks of accessing SpaceX equity through the private secondary market, an assessment of the specific fund vehicle sourced by our team (SPX XX, a Series of Astro Funds LLC), and a frank appraisal of the material risks that any investor must weigh before committing capital.</w:t>
      </w:r>
    </w:p>
    <w:p>
      <w:pPr>
        <w:spacing w:after="160" w:before="0" w:line="320"/>
        <w:jc w:val="both"/>
      </w:pPr>
      <w:r>
        <w:rPr>
          <w:rFonts w:ascii="Arial" w:cs="Arial" w:eastAsia="Arial" w:hAnsi="Arial"/>
          <w:color w:val="1A1A1A"/>
          <w:sz w:val="22"/>
          <w:szCs w:val="22"/>
        </w:rPr>
        <w:t xml:space="preserve">Our team, working through established New York-based secondary market intermediaries and informed by insights from individuals with close personal connections to SpaceX employees, has identified and reviewed a specific private placement vehicle. While this access is potentially valuable, it comes with structural complexity, elevated costs, and meaningful uncertainty that are discussed at length in this report.</w:t>
      </w:r>
    </w:p>
    <w:p>
      <w:pPr>
        <w:spacing w:after="80" w:before="0"/>
      </w:pPr>
      <w:r>
        <w:rPr>
          <w:rFonts w:ascii="Arial" w:cs="Arial" w:eastAsia="Arial" w:hAnsi="Arial"/>
          <w:b/>
          <w:bCs/>
          <w:color w:val="C5993E"/>
          <w:spacing w:val="60"/>
          <w:sz w:val="16"/>
          <w:szCs w:val="16"/>
        </w:rPr>
        <w:t xml:space="preserve">SECTION 2</w:t>
      </w:r>
    </w:p>
    <w:p>
      <w:pPr>
        <w:pStyle w:val="Heading1"/>
        <w:spacing w:after="200" w:before="0"/>
      </w:pPr>
      <w:r>
        <w:rPr>
          <w:rFonts w:ascii="Arial" w:cs="Arial" w:eastAsia="Arial" w:hAnsi="Arial"/>
          <w:b/>
          <w:bCs/>
          <w:color w:val="0F1A2E"/>
          <w:sz w:val="44"/>
          <w:szCs w:val="44"/>
        </w:rPr>
        <w:t xml:space="preserve">SpaceX: Company Overview &amp; Strategic Position</w:t>
      </w:r>
    </w:p>
    <w:p>
      <w:pPr>
        <w:pBdr>
          <w:bottom w:val="single" w:color="C5993E" w:sz="8" w:space="4"/>
        </w:pBdr>
        <w:spacing w:after="320" w:before="320"/>
      </w:pPr>
      <w:r>
        <w:t xml:space="preserve"/>
      </w:r>
    </w:p>
    <w:p>
      <w:pPr>
        <w:pStyle w:val="Heading2"/>
        <w:spacing w:after="160" w:before="360"/>
      </w:pPr>
      <w:r>
        <w:rPr>
          <w:rFonts w:ascii="Arial" w:cs="Arial" w:eastAsia="Arial" w:hAnsi="Arial"/>
          <w:b/>
          <w:bCs/>
          <w:color w:val="0F1A2E"/>
          <w:sz w:val="28"/>
          <w:szCs w:val="28"/>
        </w:rPr>
        <w:t xml:space="preserve">Corporate Background</w:t>
      </w:r>
    </w:p>
    <w:p>
      <w:pPr>
        <w:spacing w:after="160" w:before="0" w:line="320"/>
        <w:jc w:val="both"/>
      </w:pPr>
      <w:r>
        <w:rPr>
          <w:rFonts w:ascii="Arial" w:cs="Arial" w:eastAsia="Arial" w:hAnsi="Arial"/>
          <w:color w:val="1A1A1A"/>
          <w:sz w:val="22"/>
          <w:szCs w:val="22"/>
        </w:rPr>
        <w:t xml:space="preserve">SpaceX was incorporated in 2002 with the stated mission of making humanity multiplanetary. Over more than two decades, it has transformed from a speculative aerospace startup into a dominant contractor for both the U.S. government and commercial satellite operators worldwide. Key milestones include:</w:t>
      </w:r>
    </w:p>
    <w:p>
      <w:pPr>
        <w:pStyle w:val="ListParagraph"/>
        <w:numPr>
          <w:ilvl w:val="0"/>
          <w:numId w:val="2"/>
        </w:numPr>
        <w:spacing w:after="120" w:before="0" w:line="300"/>
      </w:pPr>
      <w:r>
        <w:rPr>
          <w:rFonts w:ascii="Arial" w:cs="Arial" w:eastAsia="Arial" w:hAnsi="Arial"/>
          <w:color w:val="1A1A1A"/>
          <w:sz w:val="22"/>
          <w:szCs w:val="22"/>
        </w:rPr>
        <w:t xml:space="preserve">First private company to successfully orbit and recover a liquid-fueled rocket (Falcon 1, 2008)</w:t>
      </w:r>
    </w:p>
    <w:p>
      <w:pPr>
        <w:pStyle w:val="ListParagraph"/>
        <w:numPr>
          <w:ilvl w:val="0"/>
          <w:numId w:val="2"/>
        </w:numPr>
        <w:spacing w:after="120" w:before="0" w:line="300"/>
      </w:pPr>
      <w:r>
        <w:rPr>
          <w:rFonts w:ascii="Arial" w:cs="Arial" w:eastAsia="Arial" w:hAnsi="Arial"/>
          <w:color w:val="1A1A1A"/>
          <w:sz w:val="22"/>
          <w:szCs w:val="22"/>
        </w:rPr>
        <w:t xml:space="preserve">First private company to dock a spacecraft with the International Space Station (Dragon, 2012)</w:t>
      </w:r>
    </w:p>
    <w:p>
      <w:pPr>
        <w:pStyle w:val="ListParagraph"/>
        <w:numPr>
          <w:ilvl w:val="0"/>
          <w:numId w:val="2"/>
        </w:numPr>
        <w:spacing w:after="120" w:before="0" w:line="300"/>
      </w:pPr>
      <w:r>
        <w:rPr>
          <w:rFonts w:ascii="Arial" w:cs="Arial" w:eastAsia="Arial" w:hAnsi="Arial"/>
          <w:color w:val="1A1A1A"/>
          <w:sz w:val="22"/>
          <w:szCs w:val="22"/>
        </w:rPr>
        <w:t xml:space="preserve">First operational crewed launch for NASA under the Commercial Crew Program (2020)</w:t>
      </w:r>
    </w:p>
    <w:p>
      <w:pPr>
        <w:pStyle w:val="ListParagraph"/>
        <w:numPr>
          <w:ilvl w:val="0"/>
          <w:numId w:val="2"/>
        </w:numPr>
        <w:spacing w:after="120" w:before="0" w:line="300"/>
      </w:pPr>
      <w:r>
        <w:rPr>
          <w:rFonts w:ascii="Arial" w:cs="Arial" w:eastAsia="Arial" w:hAnsi="Arial"/>
          <w:color w:val="1A1A1A"/>
          <w:sz w:val="22"/>
          <w:szCs w:val="22"/>
        </w:rPr>
        <w:t xml:space="preserve">Development of Starship — the most powerful launch vehicle ever constructed, targeting Mars missions and point-to-point Earth travel</w:t>
      </w:r>
    </w:p>
    <w:p>
      <w:pPr>
        <w:pStyle w:val="ListParagraph"/>
        <w:numPr>
          <w:ilvl w:val="0"/>
          <w:numId w:val="2"/>
        </w:numPr>
        <w:spacing w:after="120" w:before="0" w:line="300"/>
      </w:pPr>
      <w:r>
        <w:rPr>
          <w:rFonts w:ascii="Arial" w:cs="Arial" w:eastAsia="Arial" w:hAnsi="Arial"/>
          <w:color w:val="1A1A1A"/>
          <w:sz w:val="22"/>
          <w:szCs w:val="22"/>
        </w:rPr>
        <w:t xml:space="preserve">Starlink — a low-Earth-orbit broadband satellite constellation comprising thousands of satellites, already serving millions of subscribers globally</w:t>
      </w:r>
    </w:p>
    <w:p>
      <w:pPr>
        <w:spacing w:after="160" w:before="0" w:line="320"/>
        <w:jc w:val="both"/>
      </w:pPr>
      <w:r>
        <w:rPr>
          <w:rFonts w:ascii="Arial" w:cs="Arial" w:eastAsia="Arial" w:hAnsi="Arial"/>
          <w:color w:val="1A1A1A"/>
          <w:sz w:val="22"/>
          <w:szCs w:val="22"/>
        </w:rPr>
        <w:t xml:space="preserve">SpaceX holds multibillion-dollar contracts with NASA (Artemis lunar lander, commercial crew resupply), the U.S. Department of Defense, and the National Reconnaissance Office, making it a critical infrastructure provider to U.S. national security.</w:t>
      </w:r>
    </w:p>
    <w:p>
      <w:pPr>
        <w:pStyle w:val="Heading2"/>
        <w:spacing w:after="160" w:before="360"/>
      </w:pPr>
      <w:r>
        <w:rPr>
          <w:rFonts w:ascii="Arial" w:cs="Arial" w:eastAsia="Arial" w:hAnsi="Arial"/>
          <w:b/>
          <w:bCs/>
          <w:color w:val="0F1A2E"/>
          <w:sz w:val="28"/>
          <w:szCs w:val="28"/>
        </w:rPr>
        <w:t xml:space="preserve">Business Segments &amp; Revenue Drivers</w:t>
      </w:r>
    </w:p>
    <w:p>
      <w:pPr>
        <w:spacing w:after="160" w:before="0" w:line="320"/>
        <w:jc w:val="both"/>
      </w:pPr>
      <w:r>
        <w:rPr>
          <w:rFonts w:ascii="Arial" w:cs="Arial" w:eastAsia="Arial" w:hAnsi="Arial"/>
          <w:color w:val="1A1A1A"/>
          <w:sz w:val="22"/>
          <w:szCs w:val="22"/>
        </w:rPr>
        <w:t xml:space="preserve">SpaceX operates across three primary revenue streams:</w:t>
      </w:r>
    </w:p>
    <w:p>
      <w:pPr>
        <w:pStyle w:val="ListParagraph"/>
        <w:numPr>
          <w:ilvl w:val="0"/>
          <w:numId w:val="2"/>
        </w:numPr>
        <w:spacing w:after="120" w:before="0" w:line="300"/>
      </w:pPr>
      <w:r>
        <w:rPr>
          <w:rFonts w:ascii="Arial" w:cs="Arial" w:eastAsia="Arial" w:hAnsi="Arial"/>
          <w:color w:val="1A1A1A"/>
          <w:sz w:val="22"/>
          <w:szCs w:val="22"/>
        </w:rPr>
        <w:t xml:space="preserve">Launch Services: Falcon 9 and Falcon Heavy manifest, NASA and DoD contracts, commercial satellite deployment. Falcon 9 is the most frequently flown orbital rocket in history.</w:t>
      </w:r>
    </w:p>
    <w:p>
      <w:pPr>
        <w:pStyle w:val="ListParagraph"/>
        <w:numPr>
          <w:ilvl w:val="0"/>
          <w:numId w:val="2"/>
        </w:numPr>
        <w:spacing w:after="120" w:before="0" w:line="300"/>
      </w:pPr>
      <w:r>
        <w:rPr>
          <w:rFonts w:ascii="Arial" w:cs="Arial" w:eastAsia="Arial" w:hAnsi="Arial"/>
          <w:color w:val="1A1A1A"/>
          <w:sz w:val="22"/>
          <w:szCs w:val="22"/>
        </w:rPr>
        <w:t xml:space="preserve">Starlink: Recurring broadband subscription revenue across consumer, enterprise, maritime, aviation, and government (including military) verticals. Analyst estimates place Starlink revenue in the multi-billion-dollar range annually, with continued subscriber growth.</w:t>
      </w:r>
    </w:p>
    <w:p>
      <w:pPr>
        <w:pStyle w:val="ListParagraph"/>
        <w:numPr>
          <w:ilvl w:val="0"/>
          <w:numId w:val="2"/>
        </w:numPr>
        <w:spacing w:after="120" w:before="0" w:line="300"/>
      </w:pPr>
      <w:r>
        <w:rPr>
          <w:rFonts w:ascii="Arial" w:cs="Arial" w:eastAsia="Arial" w:hAnsi="Arial"/>
          <w:color w:val="1A1A1A"/>
          <w:sz w:val="22"/>
          <w:szCs w:val="22"/>
        </w:rPr>
        <w:t xml:space="preserve">Starship / Future Programs: While still in development, Starship is widely expected to dramatically reduce per-kilogram launch costs and unlock new commercial and government contracts, including NASA's Human Landing System.</w:t>
      </w:r>
    </w:p>
    <w:p>
      <w:pPr>
        <w:spacing w:after="160" w:before="0" w:line="320"/>
        <w:jc w:val="both"/>
      </w:pPr>
      <w:r>
        <w:rPr>
          <w:rFonts w:ascii="Arial" w:cs="Arial" w:eastAsia="Arial" w:hAnsi="Arial"/>
          <w:color w:val="1A1A1A"/>
          <w:sz w:val="22"/>
          <w:szCs w:val="22"/>
        </w:rPr>
        <w:t xml:space="preserve">Informed sources close to SpaceX employees suggest that Starlink subscriber growth has exceeded internal projections in key enterprise and government segments, and that Starship commercial manifest discussions are already underway with major satellite operators, though this information is not publicly confirmed.</w:t>
      </w:r>
    </w:p>
    <w:p>
      <w:pPr>
        <w:pStyle w:val="Heading2"/>
        <w:spacing w:after="160" w:before="360"/>
      </w:pPr>
      <w:r>
        <w:rPr>
          <w:rFonts w:ascii="Arial" w:cs="Arial" w:eastAsia="Arial" w:hAnsi="Arial"/>
          <w:b/>
          <w:bCs/>
          <w:color w:val="0F1A2E"/>
          <w:sz w:val="28"/>
          <w:szCs w:val="28"/>
        </w:rPr>
        <w:t xml:space="preserve">Valuation Context</w:t>
      </w:r>
    </w:p>
    <w:p>
      <w:pPr>
        <w:spacing w:after="160" w:before="0" w:line="320"/>
        <w:jc w:val="both"/>
      </w:pPr>
      <w:r>
        <w:rPr>
          <w:rFonts w:ascii="Arial" w:cs="Arial" w:eastAsia="Arial" w:hAnsi="Arial"/>
          <w:color w:val="1A1A1A"/>
          <w:sz w:val="22"/>
          <w:szCs w:val="22"/>
        </w:rPr>
        <w:t xml:space="preserve">SpaceX has never publicly disclosed audited financial statements. Valuation estimates are derived from secondary market transactions, tender offers, and analyst modeling. The fund vehicle analyzed herein implies a post-money valuation of $1.00 trillion at $421.00 per share — a figure at the high end of publicly discussed estimates and one that should be scrutinized carefully by any prospective investor.</w:t>
      </w:r>
    </w:p>
    <w:p>
      <w:pPr>
        <w:spacing w:after="160" w:before="0" w:line="320"/>
        <w:jc w:val="both"/>
      </w:pPr>
      <w:r>
        <w:rPr>
          <w:rFonts w:ascii="Arial" w:cs="Arial" w:eastAsia="Arial" w:hAnsi="Arial"/>
          <w:color w:val="1A1A1A"/>
          <w:sz w:val="22"/>
          <w:szCs w:val="22"/>
        </w:rPr>
        <w:t xml:space="preserve">For context: at a $1T valuation, SpaceX would rank among the five largest companies in the world by market capitalization. This implies a forward growth story of extraordinary magnitude — pricing in successful Starship commercialization, Starlink profitability at scale, and continued government contract dominance. Investors must decide whether that future is sufficiently probable to justify the price today.</w:t>
      </w:r>
    </w:p>
    <w:p>
      <w:pPr>
        <w:spacing w:after="80" w:before="0"/>
      </w:pPr>
      <w:r>
        <w:rPr>
          <w:rFonts w:ascii="Arial" w:cs="Arial" w:eastAsia="Arial" w:hAnsi="Arial"/>
          <w:b/>
          <w:bCs/>
          <w:color w:val="C5993E"/>
          <w:spacing w:val="60"/>
          <w:sz w:val="16"/>
          <w:szCs w:val="16"/>
        </w:rPr>
        <w:t xml:space="preserve">SECTION 3</w:t>
      </w:r>
    </w:p>
    <w:p>
      <w:pPr>
        <w:pStyle w:val="Heading1"/>
        <w:spacing w:after="200" w:before="0"/>
      </w:pPr>
      <w:r>
        <w:rPr>
          <w:rFonts w:ascii="Arial" w:cs="Arial" w:eastAsia="Arial" w:hAnsi="Arial"/>
          <w:b/>
          <w:bCs/>
          <w:color w:val="0F1A2E"/>
          <w:sz w:val="44"/>
          <w:szCs w:val="44"/>
        </w:rPr>
        <w:t xml:space="preserve">The Private Secondary Market</w:t>
      </w:r>
    </w:p>
    <w:p>
      <w:pPr>
        <w:pBdr>
          <w:bottom w:val="single" w:color="C5993E" w:sz="8" w:space="4"/>
        </w:pBdr>
        <w:spacing w:after="320" w:before="320"/>
      </w:pPr>
      <w:r>
        <w:t xml:space="preserve"/>
      </w:r>
    </w:p>
    <w:p>
      <w:pPr>
        <w:pStyle w:val="Heading2"/>
        <w:spacing w:after="160" w:before="360"/>
      </w:pPr>
      <w:r>
        <w:rPr>
          <w:rFonts w:ascii="Arial" w:cs="Arial" w:eastAsia="Arial" w:hAnsi="Arial"/>
          <w:b/>
          <w:bCs/>
          <w:color w:val="0F1A2E"/>
          <w:sz w:val="28"/>
          <w:szCs w:val="28"/>
        </w:rPr>
        <w:t xml:space="preserve">What Is the Secondary Market for Private Shares?</w:t>
      </w:r>
    </w:p>
    <w:p>
      <w:pPr>
        <w:spacing w:after="160" w:before="0" w:line="320"/>
        <w:jc w:val="both"/>
      </w:pPr>
      <w:r>
        <w:rPr>
          <w:rFonts w:ascii="Arial" w:cs="Arial" w:eastAsia="Arial" w:hAnsi="Arial"/>
          <w:color w:val="1A1A1A"/>
          <w:sz w:val="22"/>
          <w:szCs w:val="22"/>
        </w:rPr>
        <w:t xml:space="preserve">A secondary market for private securities exists because employees, early investors, and other early stakeholders who hold equity in pre-IPO companies may wish to liquidate some or all of their positions before an initial public offering — if one ever occurs. For companies like SpaceX that have remained private for over two decades, this market has become substantial and institutionalized.</w:t>
      </w:r>
    </w:p>
    <w:p>
      <w:pPr>
        <w:spacing w:after="160" w:before="0" w:line="320"/>
        <w:jc w:val="both"/>
      </w:pPr>
      <w:r>
        <w:rPr>
          <w:rFonts w:ascii="Arial" w:cs="Arial" w:eastAsia="Arial" w:hAnsi="Arial"/>
          <w:color w:val="1A1A1A"/>
          <w:sz w:val="22"/>
          <w:szCs w:val="22"/>
        </w:rPr>
        <w:t xml:space="preserve">Unlike public equity markets, where buyers and sellers transact on regulated exchanges with transparent pricing, standardized settlement, and regulatory oversight, the private secondary market is characterized by opacity, illiquidity, and significant information asymmetry. Prices are negotiated bilaterally, disclosed minimally, and subject to company right-of-first-refusal restrictions and transfer consent requirements.</w:t>
      </w:r>
    </w:p>
    <w:p>
      <w:pPr>
        <w:pStyle w:val="Heading2"/>
        <w:spacing w:after="160" w:before="360"/>
      </w:pPr>
      <w:r>
        <w:rPr>
          <w:rFonts w:ascii="Arial" w:cs="Arial" w:eastAsia="Arial" w:hAnsi="Arial"/>
          <w:b/>
          <w:bCs/>
          <w:color w:val="0F1A2E"/>
          <w:sz w:val="28"/>
          <w:szCs w:val="28"/>
        </w:rPr>
        <w:t xml:space="preserve">How Secondary Transactions Are Structured</w:t>
      </w:r>
    </w:p>
    <w:p>
      <w:pPr>
        <w:spacing w:after="160" w:before="0" w:line="320"/>
        <w:jc w:val="both"/>
      </w:pPr>
      <w:r>
        <w:rPr>
          <w:rFonts w:ascii="Arial" w:cs="Arial" w:eastAsia="Arial" w:hAnsi="Arial"/>
          <w:color w:val="1A1A1A"/>
          <w:sz w:val="22"/>
          <w:szCs w:val="22"/>
        </w:rPr>
        <w:t xml:space="preserve">Access to SpaceX shares in the secondary market typically occurs through one of several structures:</w:t>
      </w:r>
    </w:p>
    <w:p>
      <w:pPr>
        <w:pStyle w:val="ListParagraph"/>
        <w:numPr>
          <w:ilvl w:val="0"/>
          <w:numId w:val="2"/>
        </w:numPr>
        <w:spacing w:after="120" w:before="0" w:line="300"/>
      </w:pPr>
      <w:r>
        <w:rPr>
          <w:rFonts w:ascii="Arial" w:cs="Arial" w:eastAsia="Arial" w:hAnsi="Arial"/>
          <w:color w:val="1A1A1A"/>
          <w:sz w:val="22"/>
          <w:szCs w:val="22"/>
        </w:rPr>
        <w:t xml:space="preserve">Direct transfers: A buyer acquires shares directly from a seller, subject to SpaceX's transfer restrictions and any right of first refusal. This structure is rare and typically accessible only to institutional counterparties already known to the company.</w:t>
      </w:r>
    </w:p>
    <w:p>
      <w:pPr>
        <w:pStyle w:val="ListParagraph"/>
        <w:numPr>
          <w:ilvl w:val="0"/>
          <w:numId w:val="2"/>
        </w:numPr>
        <w:spacing w:after="120" w:before="0" w:line="300"/>
      </w:pPr>
      <w:r>
        <w:rPr>
          <w:rFonts w:ascii="Arial" w:cs="Arial" w:eastAsia="Arial" w:hAnsi="Arial"/>
          <w:color w:val="1A1A1A"/>
          <w:sz w:val="22"/>
          <w:szCs w:val="22"/>
        </w:rPr>
        <w:t xml:space="preserve">Special Purpose Vehicles (SPVs): A fund or vehicle is established specifically to hold a block of SpaceX shares. Investors subscribe to the SPV and receive a pro-rata economic interest in the underlying shares. This is the most common retail-accessible structure.</w:t>
      </w:r>
    </w:p>
    <w:p>
      <w:pPr>
        <w:pStyle w:val="ListParagraph"/>
        <w:numPr>
          <w:ilvl w:val="0"/>
          <w:numId w:val="2"/>
        </w:numPr>
        <w:spacing w:after="120" w:before="0" w:line="300"/>
      </w:pPr>
      <w:r>
        <w:rPr>
          <w:rFonts w:ascii="Arial" w:cs="Arial" w:eastAsia="Arial" w:hAnsi="Arial"/>
          <w:color w:val="1A1A1A"/>
          <w:sz w:val="22"/>
          <w:szCs w:val="22"/>
        </w:rPr>
        <w:t xml:space="preserve">Forward contracts: Agreements to purchase shares at a future price or upon a triggering event (such as an IPO), which introduce additional counterparty and legal risk.</w:t>
      </w:r>
    </w:p>
    <w:p>
      <w:pPr>
        <w:spacing w:after="160" w:before="0" w:line="320"/>
        <w:jc w:val="both"/>
      </w:pPr>
      <w:r>
        <w:rPr>
          <w:rFonts w:ascii="Arial" w:cs="Arial" w:eastAsia="Arial" w:hAnsi="Arial"/>
          <w:color w:val="1A1A1A"/>
          <w:sz w:val="22"/>
          <w:szCs w:val="22"/>
        </w:rPr>
        <w:t xml:space="preserve">The vehicle analyzed in this report — SPX XX, a Series of Astro Funds LLC — operates as an SPV structure. Subscribers invest in the fund, which in turn acquires (or contractually controls) SpaceX shares held by sellers identified through secondary market brokers. The legal chain from investor to underlying share can be multi-layered, and investors do not hold SpaceX shares directly.</w:t>
      </w:r>
    </w:p>
    <w:p>
      <w:pPr>
        <w:pStyle w:val="Heading2"/>
        <w:spacing w:after="160" w:before="360"/>
      </w:pPr>
      <w:r>
        <w:rPr>
          <w:rFonts w:ascii="Arial" w:cs="Arial" w:eastAsia="Arial" w:hAnsi="Arial"/>
          <w:b/>
          <w:bCs/>
          <w:color w:val="0F1A2E"/>
          <w:sz w:val="28"/>
          <w:szCs w:val="28"/>
        </w:rPr>
        <w:t xml:space="preserve">Defense Contract Restrictions &amp; Eligible Purchasers</w:t>
      </w:r>
    </w:p>
    <w:p>
      <w:pPr>
        <w:spacing w:after="160" w:before="0" w:line="320"/>
        <w:jc w:val="both"/>
      </w:pPr>
      <w:r>
        <w:rPr>
          <w:rFonts w:ascii="Arial" w:cs="Arial" w:eastAsia="Arial" w:hAnsi="Arial"/>
          <w:color w:val="1A1A1A"/>
          <w:sz w:val="22"/>
          <w:szCs w:val="22"/>
        </w:rPr>
        <w:t xml:space="preserve">SpaceX occupies a unique position among pre-IPO companies due to its classification as a critical U.S. defense contractor. Its contracts with the National Reconnaissance Office, the U.S. Space Force, and the Department of Defense impose restrictions on equity ownership that create meaningful structural complexity for secondary market investors.</w:t>
      </w:r>
    </w:p>
    <w:p>
      <w:pPr>
        <w:spacing w:after="160" w:before="0" w:line="320"/>
        <w:jc w:val="both"/>
      </w:pPr>
      <w:r>
        <w:rPr>
          <w:rFonts w:ascii="Arial" w:cs="Arial" w:eastAsia="Arial" w:hAnsi="Arial"/>
          <w:color w:val="1A1A1A"/>
          <w:sz w:val="22"/>
          <w:szCs w:val="22"/>
        </w:rPr>
        <w:t xml:space="preserve">As a practical matter, SpaceX shares — even in secondary market transactions — cannot be acquired directly by foreign nationals, foreign entities, or entities with foreign beneficial ownership without triggering potential national security review. This means that the secondary market for SpaceX is effectively limited to U.S. persons and entities that can demonstrate compliance with ITAR (International Traffic in Arms Regulations) and related national security frameworks.</w:t>
      </w:r>
    </w:p>
    <w:p>
      <w:pPr>
        <w:spacing w:after="160" w:before="0" w:line="320"/>
        <w:jc w:val="both"/>
      </w:pPr>
      <w:r>
        <w:rPr>
          <w:rFonts w:ascii="Arial" w:cs="Arial" w:eastAsia="Arial" w:hAnsi="Arial"/>
          <w:color w:val="1A1A1A"/>
          <w:sz w:val="22"/>
          <w:szCs w:val="22"/>
        </w:rPr>
        <w:t xml:space="preserve">For non-U.S. investors or U.S. entities with significant foreign ownership, access to SpaceX shares essentially requires participation through a vetted fund structure that has been structured to remain compliant — adding another layer of legal complexity, cost, and uncertainty to the investment.</w:t>
      </w:r>
    </w:p>
    <w:p>
      <w:pPr>
        <w:pStyle w:val="Heading2"/>
        <w:spacing w:after="160" w:before="360"/>
      </w:pPr>
      <w:r>
        <w:rPr>
          <w:rFonts w:ascii="Arial" w:cs="Arial" w:eastAsia="Arial" w:hAnsi="Arial"/>
          <w:b/>
          <w:bCs/>
          <w:color w:val="0F1A2E"/>
          <w:sz w:val="28"/>
          <w:szCs w:val="28"/>
        </w:rPr>
        <w:t xml:space="preserve">The Broker Ecosystem</w:t>
      </w:r>
    </w:p>
    <w:p>
      <w:pPr>
        <w:spacing w:after="160" w:before="0" w:line="320"/>
        <w:jc w:val="both"/>
      </w:pPr>
      <w:r>
        <w:rPr>
          <w:rFonts w:ascii="Arial" w:cs="Arial" w:eastAsia="Arial" w:hAnsi="Arial"/>
          <w:color w:val="1A1A1A"/>
          <w:sz w:val="22"/>
          <w:szCs w:val="22"/>
        </w:rPr>
        <w:t xml:space="preserve">The secondary market for SpaceX shares is intermediated by a small number of specialized brokers — firms or individuals who maintain relationships with current or former SpaceX employees and early investors willing to sell. These brokers aggregate supply, find demand, and facilitate the legal transfer process.</w:t>
      </w:r>
    </w:p>
    <w:p>
      <w:pPr>
        <w:spacing w:after="160" w:before="0" w:line="320"/>
        <w:jc w:val="both"/>
      </w:pPr>
      <w:r>
        <w:rPr>
          <w:rFonts w:ascii="Arial" w:cs="Arial" w:eastAsia="Arial" w:hAnsi="Arial"/>
          <w:color w:val="1A1A1A"/>
          <w:sz w:val="22"/>
          <w:szCs w:val="22"/>
        </w:rPr>
        <w:t xml:space="preserve">This ecosystem is characterized by limited transparency. Brokers may earn fees from both buyers and sellers simultaneously (a dual-agency arrangement), and the total fee load across a single transaction — encompassing broker fees, management fees, administrative fees, and carried interest — can be substantially higher than fees applicable to any comparable transaction in public markets.</w:t>
      </w:r>
    </w:p>
    <w:p>
      <w:pPr>
        <w:spacing w:after="160" w:before="0" w:line="320"/>
        <w:jc w:val="both"/>
      </w:pPr>
      <w:r>
        <w:rPr>
          <w:rFonts w:ascii="Arial" w:cs="Arial" w:eastAsia="Arial" w:hAnsi="Arial"/>
          <w:color w:val="1A1A1A"/>
          <w:sz w:val="22"/>
          <w:szCs w:val="22"/>
        </w:rPr>
        <w:t xml:space="preserve">In the specific vehicle analyzed herein (see Section 4), the disclosed fee structure includes a 10% one-time broker fee, a 5% annual management fee (prepaid for three years upfront), and 25% carried interest — representing total fee exposure that investors must carefully model against their expected holding period and exit scenario.</w:t>
      </w:r>
    </w:p>
    <w:p>
      <w:pPr>
        <w:spacing w:after="80" w:before="0"/>
      </w:pPr>
      <w:r>
        <w:rPr>
          <w:rFonts w:ascii="Arial" w:cs="Arial" w:eastAsia="Arial" w:hAnsi="Arial"/>
          <w:b/>
          <w:bCs/>
          <w:color w:val="C5993E"/>
          <w:spacing w:val="60"/>
          <w:sz w:val="16"/>
          <w:szCs w:val="16"/>
        </w:rPr>
        <w:t xml:space="preserve">SECTION 4</w:t>
      </w:r>
    </w:p>
    <w:p>
      <w:pPr>
        <w:pStyle w:val="Heading1"/>
        <w:spacing w:after="200" w:before="0"/>
      </w:pPr>
      <w:r>
        <w:rPr>
          <w:rFonts w:ascii="Arial" w:cs="Arial" w:eastAsia="Arial" w:hAnsi="Arial"/>
          <w:b/>
          <w:bCs/>
          <w:color w:val="0F1A2E"/>
          <w:sz w:val="44"/>
          <w:szCs w:val="44"/>
        </w:rPr>
        <w:t xml:space="preserve">Fund Vehicle Analysis: SPX XX</w:t>
      </w:r>
    </w:p>
    <w:p>
      <w:pPr>
        <w:pBdr>
          <w:bottom w:val="single" w:color="C5993E" w:sz="8" w:space="4"/>
        </w:pBdr>
        <w:spacing w:after="320" w:before="320"/>
      </w:pPr>
      <w:r>
        <w:t xml:space="preserve"/>
      </w:r>
    </w:p>
    <w:p>
      <w:pPr>
        <w:pStyle w:val="Heading2"/>
        <w:spacing w:after="160" w:before="360"/>
      </w:pPr>
      <w:r>
        <w:rPr>
          <w:rFonts w:ascii="Arial" w:cs="Arial" w:eastAsia="Arial" w:hAnsi="Arial"/>
          <w:b/>
          <w:bCs/>
          <w:color w:val="0F1A2E"/>
          <w:sz w:val="28"/>
          <w:szCs w:val="28"/>
        </w:rPr>
        <w:t xml:space="preserve">Structure Overview</w:t>
      </w:r>
    </w:p>
    <w:p>
      <w:pPr>
        <w:spacing w:after="160" w:before="0" w:line="320"/>
        <w:jc w:val="both"/>
      </w:pPr>
      <w:r>
        <w:rPr>
          <w:rFonts w:ascii="Arial" w:cs="Arial" w:eastAsia="Arial" w:hAnsi="Arial"/>
          <w:color w:val="1A1A1A"/>
          <w:sz w:val="22"/>
          <w:szCs w:val="22"/>
        </w:rPr>
        <w:t xml:space="preserve">Our team has sourced and reviewed a specific secondary market investment vehicle: SPX XX, a Series of Astro Funds LLC. The key structural and economic terms, as disclosed in the fund's Private Placement Memorandum, Subscription Agreement, and Operating Agreement, are summarized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Term</w:t>
            </w:r>
          </w:p>
        </w:tc>
        <w:tc>
          <w:tcPr>
            <w:tcW w:type="dxa" w:w="624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Detail</w:t>
            </w:r>
          </w:p>
        </w:tc>
      </w:tr>
      <w:tr>
        <w:tc>
          <w:tcPr>
            <w:tcW w:type="dxa" w:w="31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Fund Entity</w:t>
            </w:r>
          </w:p>
        </w:tc>
        <w:tc>
          <w:tcPr>
            <w:tcW w:type="dxa" w:w="624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SPX XX, a Series of Astro Funds LLC (Delaware Series LLC)</w:t>
            </w:r>
          </w:p>
        </w:tc>
      </w:tr>
      <w:tr>
        <w:tc>
          <w:tcPr>
            <w:tcW w:type="dxa" w:w="31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Implied Valuation</w:t>
            </w:r>
          </w:p>
        </w:tc>
        <w:tc>
          <w:tcPr>
            <w:tcW w:type="dxa" w:w="624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$1.00 Trillion post-money</w:t>
            </w:r>
          </w:p>
        </w:tc>
      </w:tr>
      <w:tr>
        <w:tc>
          <w:tcPr>
            <w:tcW w:type="dxa" w:w="31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Share Price (Pre-Fee)</w:t>
            </w:r>
          </w:p>
        </w:tc>
        <w:tc>
          <w:tcPr>
            <w:tcW w:type="dxa" w:w="624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$421.00 per share</w:t>
            </w:r>
          </w:p>
        </w:tc>
      </w:tr>
      <w:tr>
        <w:tc>
          <w:tcPr>
            <w:tcW w:type="dxa" w:w="31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Broker Fee</w:t>
            </w:r>
          </w:p>
        </w:tc>
        <w:tc>
          <w:tcPr>
            <w:tcW w:type="dxa" w:w="624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10% one-time, paid upfront (included in subscription amount)</w:t>
            </w:r>
          </w:p>
        </w:tc>
      </w:tr>
      <w:tr>
        <w:tc>
          <w:tcPr>
            <w:tcW w:type="dxa" w:w="31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Management Fee</w:t>
            </w:r>
          </w:p>
        </w:tc>
        <w:tc>
          <w:tcPr>
            <w:tcW w:type="dxa" w:w="624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5% annually for 3 years, paid upfront and non-refundable</w:t>
            </w:r>
          </w:p>
        </w:tc>
      </w:tr>
      <w:tr>
        <w:tc>
          <w:tcPr>
            <w:tcW w:type="dxa" w:w="31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Administrative Fee</w:t>
            </w:r>
          </w:p>
        </w:tc>
        <w:tc>
          <w:tcPr>
            <w:tcW w:type="dxa" w:w="624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$15,000 upfront fee reserve applied across all subscribers</w:t>
            </w:r>
          </w:p>
        </w:tc>
      </w:tr>
      <w:tr>
        <w:tc>
          <w:tcPr>
            <w:tcW w:type="dxa" w:w="31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Carried Interest</w:t>
            </w:r>
          </w:p>
        </w:tc>
        <w:tc>
          <w:tcPr>
            <w:tcW w:type="dxa" w:w="624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25% of gains above return of capital</w:t>
            </w:r>
          </w:p>
        </w:tc>
      </w:tr>
      <w:tr>
        <w:tc>
          <w:tcPr>
            <w:tcW w:type="dxa" w:w="31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Lock-up / Liquidity</w:t>
            </w:r>
          </w:p>
        </w:tc>
        <w:tc>
          <w:tcPr>
            <w:tcW w:type="dxa" w:w="624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No public market; indefinite holding period expected</w:t>
            </w:r>
          </w:p>
        </w:tc>
      </w:tr>
      <w:tr>
        <w:tc>
          <w:tcPr>
            <w:tcW w:type="dxa" w:w="31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Eligible Investors</w:t>
            </w:r>
          </w:p>
        </w:tc>
        <w:tc>
          <w:tcPr>
            <w:tcW w:type="dxa" w:w="624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Accredited Investors only (Rule 506(d), Regulation D)</w:t>
            </w:r>
          </w:p>
        </w:tc>
      </w:tr>
      <w:tr>
        <w:tc>
          <w:tcPr>
            <w:tcW w:type="dxa" w:w="31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Governing Law</w:t>
            </w:r>
          </w:p>
        </w:tc>
        <w:tc>
          <w:tcPr>
            <w:tcW w:type="dxa" w:w="624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Delaware</w:t>
            </w:r>
          </w:p>
        </w:tc>
      </w:tr>
      <w:tr>
        <w:tc>
          <w:tcPr>
            <w:tcW w:type="dxa" w:w="31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IPO Lock-up (if applicable)</w:t>
            </w:r>
          </w:p>
        </w:tc>
        <w:tc>
          <w:tcPr>
            <w:tcW w:type="dxa" w:w="624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~180 days post-IPO before shares can be freely traded</w:t>
            </w:r>
          </w:p>
        </w:tc>
      </w:tr>
    </w:tbl>
    <w:p>
      <w:pPr>
        <w:spacing w:after="0" w:before="240"/>
      </w:pPr>
      <w:r>
        <w:t xml:space="preserve"/>
      </w:r>
    </w:p>
    <w:p>
      <w:pPr>
        <w:pStyle w:val="Heading2"/>
        <w:spacing w:after="160" w:before="360"/>
      </w:pPr>
      <w:r>
        <w:rPr>
          <w:rFonts w:ascii="Arial" w:cs="Arial" w:eastAsia="Arial" w:hAnsi="Arial"/>
          <w:b/>
          <w:bCs/>
          <w:color w:val="0F1A2E"/>
          <w:sz w:val="28"/>
          <w:szCs w:val="28"/>
        </w:rPr>
        <w:t xml:space="preserve">Fee Impact Analysis</w:t>
      </w:r>
    </w:p>
    <w:p>
      <w:pPr>
        <w:spacing w:after="160" w:before="0" w:line="320"/>
        <w:jc w:val="both"/>
      </w:pPr>
      <w:r>
        <w:rPr>
          <w:rFonts w:ascii="Arial" w:cs="Arial" w:eastAsia="Arial" w:hAnsi="Arial"/>
          <w:color w:val="1A1A1A"/>
          <w:sz w:val="22"/>
          <w:szCs w:val="22"/>
        </w:rPr>
        <w:t xml:space="preserve">The cumulative fee burden of this vehicle is substantial and investors should model it carefully. Consider a hypothetical $500,000 investment:</w:t>
      </w:r>
    </w:p>
    <w:p>
      <w:pPr>
        <w:pStyle w:val="ListParagraph"/>
        <w:numPr>
          <w:ilvl w:val="0"/>
          <w:numId w:val="2"/>
        </w:numPr>
        <w:spacing w:after="120" w:before="0" w:line="300"/>
      </w:pPr>
      <w:r>
        <w:rPr>
          <w:rFonts w:ascii="Arial" w:cs="Arial" w:eastAsia="Arial" w:hAnsi="Arial"/>
          <w:color w:val="1A1A1A"/>
          <w:sz w:val="22"/>
          <w:szCs w:val="22"/>
        </w:rPr>
        <w:t xml:space="preserve">Broker fee (10% upfront): $50,000 — immediately reduces effective capital invested in SpaceX shares</w:t>
      </w:r>
    </w:p>
    <w:p>
      <w:pPr>
        <w:pStyle w:val="ListParagraph"/>
        <w:numPr>
          <w:ilvl w:val="0"/>
          <w:numId w:val="2"/>
        </w:numPr>
        <w:spacing w:after="120" w:before="0" w:line="300"/>
      </w:pPr>
      <w:r>
        <w:rPr>
          <w:rFonts w:ascii="Arial" w:cs="Arial" w:eastAsia="Arial" w:hAnsi="Arial"/>
          <w:color w:val="1A1A1A"/>
          <w:sz w:val="22"/>
          <w:szCs w:val="22"/>
        </w:rPr>
        <w:t xml:space="preserve">Management fee (5% × 3 years, prepaid): $75,000 — a further immediate reduction to capital at work</w:t>
      </w:r>
    </w:p>
    <w:p>
      <w:pPr>
        <w:pStyle w:val="ListParagraph"/>
        <w:numPr>
          <w:ilvl w:val="0"/>
          <w:numId w:val="2"/>
        </w:numPr>
        <w:spacing w:after="120" w:before="0" w:line="300"/>
      </w:pPr>
      <w:r>
        <w:rPr>
          <w:rFonts w:ascii="Arial" w:cs="Arial" w:eastAsia="Arial" w:hAnsi="Arial"/>
          <w:color w:val="1A1A1A"/>
          <w:sz w:val="22"/>
          <w:szCs w:val="22"/>
        </w:rPr>
        <w:t xml:space="preserve">Administrative fee reserve: $15,000 (allocated share)</w:t>
      </w:r>
    </w:p>
    <w:p>
      <w:pPr>
        <w:pStyle w:val="ListParagraph"/>
        <w:numPr>
          <w:ilvl w:val="0"/>
          <w:numId w:val="2"/>
        </w:numPr>
        <w:spacing w:after="120" w:before="0" w:line="300"/>
      </w:pPr>
      <w:r>
        <w:rPr>
          <w:rFonts w:ascii="Arial" w:cs="Arial" w:eastAsia="Arial" w:hAnsi="Arial"/>
          <w:color w:val="1A1A1A"/>
          <w:sz w:val="22"/>
          <w:szCs w:val="22"/>
        </w:rPr>
        <w:t xml:space="preserve">Carried interest (25% of gains): Payable at exit on profits above return of capital</w:t>
      </w:r>
    </w:p>
    <w:p>
      <w:pPr>
        <w:spacing w:after="160" w:before="0" w:line="320"/>
        <w:jc w:val="both"/>
      </w:pPr>
      <w:r>
        <w:rPr>
          <w:rFonts w:ascii="Arial" w:cs="Arial" w:eastAsia="Arial" w:hAnsi="Arial"/>
          <w:color w:val="1A1A1A"/>
          <w:sz w:val="22"/>
          <w:szCs w:val="22"/>
        </w:rPr>
        <w:t xml:space="preserve">Net effective capital deployed into SpaceX shares from a $500,000 commitment may therefore be approximately $360,000–$375,000 before administrative allocations — meaning the underlying shares would need to appreciate roughly 33–40% simply for the investor to break even at exit before carried interest. At the $1T implied valuation, this is a meaningful hurdle.</w:t>
      </w:r>
    </w:p>
    <w:p>
      <w:pPr>
        <w:spacing w:after="160" w:before="0" w:line="320"/>
        <w:jc w:val="both"/>
      </w:pPr>
      <w:r>
        <w:rPr>
          <w:rFonts w:ascii="Arial" w:cs="Arial" w:eastAsia="Arial" w:hAnsi="Arial"/>
          <w:color w:val="1A1A1A"/>
          <w:sz w:val="22"/>
          <w:szCs w:val="22"/>
        </w:rPr>
        <w:t xml:space="preserve">These fees are not unusual by comparison with other pre-IPO secondary funds; they reflect the genuine cost and difficulty of sourcing, structuring, and managing these transactions in an opaque market. They are, however, dramatically higher than the cost of any publicly traded comparable.</w:t>
      </w:r>
    </w:p>
    <w:p>
      <w:pPr>
        <w:pStyle w:val="Heading2"/>
        <w:spacing w:after="160" w:before="360"/>
      </w:pPr>
      <w:r>
        <w:rPr>
          <w:rFonts w:ascii="Arial" w:cs="Arial" w:eastAsia="Arial" w:hAnsi="Arial"/>
          <w:b/>
          <w:bCs/>
          <w:color w:val="0F1A2E"/>
          <w:sz w:val="28"/>
          <w:szCs w:val="28"/>
        </w:rPr>
        <w:t xml:space="preserve">Legal and Structural Considerations</w:t>
      </w:r>
    </w:p>
    <w:p>
      <w:pPr>
        <w:spacing w:after="160" w:before="0" w:line="320"/>
        <w:jc w:val="both"/>
      </w:pPr>
      <w:r>
        <w:rPr>
          <w:rFonts w:ascii="Arial" w:cs="Arial" w:eastAsia="Arial" w:hAnsi="Arial"/>
          <w:color w:val="1A1A1A"/>
          <w:sz w:val="22"/>
          <w:szCs w:val="22"/>
        </w:rPr>
        <w:t xml:space="preserve">Investors in this vehicle do not own SpaceX shares directly. They own an interest in a Delaware series LLC (the Fund), which in turn holds — or contracts to hold — SpaceX shares. This multi-layer structure introduces several considerations:</w:t>
      </w:r>
    </w:p>
    <w:p>
      <w:pPr>
        <w:pStyle w:val="ListParagraph"/>
        <w:numPr>
          <w:ilvl w:val="0"/>
          <w:numId w:val="2"/>
        </w:numPr>
        <w:spacing w:after="120" w:before="0" w:line="300"/>
      </w:pPr>
      <w:r>
        <w:rPr>
          <w:rFonts w:ascii="Arial" w:cs="Arial" w:eastAsia="Arial" w:hAnsi="Arial"/>
          <w:color w:val="1A1A1A"/>
          <w:sz w:val="22"/>
          <w:szCs w:val="22"/>
        </w:rPr>
        <w:t xml:space="preserve">Transfer restrictions: Fund Interests are subject to strict transfer restrictions and may not be sold or transferred without Fund consent and compliance with securities laws.</w:t>
      </w:r>
    </w:p>
    <w:p>
      <w:pPr>
        <w:pStyle w:val="ListParagraph"/>
        <w:numPr>
          <w:ilvl w:val="0"/>
          <w:numId w:val="2"/>
        </w:numPr>
        <w:spacing w:after="120" w:before="0" w:line="300"/>
      </w:pPr>
      <w:r>
        <w:rPr>
          <w:rFonts w:ascii="Arial" w:cs="Arial" w:eastAsia="Arial" w:hAnsi="Arial"/>
          <w:color w:val="1A1A1A"/>
          <w:sz w:val="22"/>
          <w:szCs w:val="22"/>
        </w:rPr>
        <w:t xml:space="preserve">Manager discretion: The Operating Agreement grants the Investment Manager broad discretionary authority over fee structures, timing of closings, and terms applicable to individual subscribers, with limited recourse for investors.</w:t>
      </w:r>
    </w:p>
    <w:p>
      <w:pPr>
        <w:pStyle w:val="ListParagraph"/>
        <w:numPr>
          <w:ilvl w:val="0"/>
          <w:numId w:val="2"/>
        </w:numPr>
        <w:spacing w:after="120" w:before="0" w:line="300"/>
      </w:pPr>
      <w:r>
        <w:rPr>
          <w:rFonts w:ascii="Arial" w:cs="Arial" w:eastAsia="Arial" w:hAnsi="Arial"/>
          <w:color w:val="1A1A1A"/>
          <w:sz w:val="22"/>
          <w:szCs w:val="22"/>
        </w:rPr>
        <w:t xml:space="preserve">Fee finalization: The Subscription Agreement explicitly states that fee amounts left blank may be finalized at close by the Administrator, and that final subscription amounts are not binding until Administrator confirms closing — a provision investors should evaluate carefully with counsel.</w:t>
      </w:r>
    </w:p>
    <w:p>
      <w:pPr>
        <w:pStyle w:val="ListParagraph"/>
        <w:numPr>
          <w:ilvl w:val="0"/>
          <w:numId w:val="2"/>
        </w:numPr>
        <w:spacing w:after="120" w:before="0" w:line="300"/>
      </w:pPr>
      <w:r>
        <w:rPr>
          <w:rFonts w:ascii="Arial" w:cs="Arial" w:eastAsia="Arial" w:hAnsi="Arial"/>
          <w:color w:val="1A1A1A"/>
          <w:sz w:val="22"/>
          <w:szCs w:val="22"/>
        </w:rPr>
        <w:t xml:space="preserve">Regulatory risk: If any aspect of the offering is found to be non-compliant with applicable securities laws or defense contract regulations, the Fund and its investors could face adverse consequences.</w:t>
      </w:r>
    </w:p>
    <w:p>
      <w:pPr>
        <w:spacing w:after="80" w:before="0"/>
      </w:pPr>
      <w:r>
        <w:rPr>
          <w:rFonts w:ascii="Arial" w:cs="Arial" w:eastAsia="Arial" w:hAnsi="Arial"/>
          <w:b/>
          <w:bCs/>
          <w:color w:val="C5993E"/>
          <w:spacing w:val="60"/>
          <w:sz w:val="16"/>
          <w:szCs w:val="16"/>
        </w:rPr>
        <w:t xml:space="preserve">SECTION 5</w:t>
      </w:r>
    </w:p>
    <w:p>
      <w:pPr>
        <w:pStyle w:val="Heading1"/>
        <w:spacing w:after="200" w:before="0"/>
      </w:pPr>
      <w:r>
        <w:rPr>
          <w:rFonts w:ascii="Arial" w:cs="Arial" w:eastAsia="Arial" w:hAnsi="Arial"/>
          <w:b/>
          <w:bCs/>
          <w:color w:val="0F1A2E"/>
          <w:sz w:val="44"/>
          <w:szCs w:val="44"/>
        </w:rPr>
        <w:t xml:space="preserve">How Companies Go Public</w:t>
      </w:r>
    </w:p>
    <w:p>
      <w:pPr>
        <w:pBdr>
          <w:bottom w:val="single" w:color="C5993E" w:sz="8" w:space="4"/>
        </w:pBdr>
        <w:spacing w:after="320" w:before="320"/>
      </w:pPr>
      <w:r>
        <w:t xml:space="preserve"/>
      </w:r>
    </w:p>
    <w:p>
      <w:pPr>
        <w:spacing w:after="160" w:before="0" w:line="320"/>
        <w:jc w:val="both"/>
      </w:pPr>
      <w:r>
        <w:rPr>
          <w:rFonts w:ascii="Arial" w:cs="Arial" w:eastAsia="Arial" w:hAnsi="Arial"/>
          <w:color w:val="1A1A1A"/>
          <w:sz w:val="22"/>
          <w:szCs w:val="22"/>
        </w:rPr>
        <w:t xml:space="preserve">For investors who have not previously participated in an IPO or followed the process closely, understanding the mechanics of how a private company transitions to public ownership is essential context for evaluating any pre-IPO investment. There are several distinct pathways a company can use to access public markets — and each has materially different implications for early investors.</w:t>
      </w:r>
    </w:p>
    <w:p>
      <w:pPr>
        <w:pStyle w:val="Heading2"/>
        <w:spacing w:after="160" w:before="360"/>
      </w:pPr>
      <w:r>
        <w:rPr>
          <w:rFonts w:ascii="Arial" w:cs="Arial" w:eastAsia="Arial" w:hAnsi="Arial"/>
          <w:b/>
          <w:bCs/>
          <w:color w:val="0F1A2E"/>
          <w:sz w:val="28"/>
          <w:szCs w:val="28"/>
        </w:rPr>
        <w:t xml:space="preserve">The Traditional IPO</w:t>
      </w:r>
    </w:p>
    <w:p>
      <w:pPr>
        <w:spacing w:after="160" w:before="0" w:line="320"/>
        <w:jc w:val="both"/>
      </w:pPr>
      <w:r>
        <w:rPr>
          <w:rFonts w:ascii="Arial" w:cs="Arial" w:eastAsia="Arial" w:hAnsi="Arial"/>
          <w:color w:val="1A1A1A"/>
          <w:sz w:val="22"/>
          <w:szCs w:val="22"/>
        </w:rPr>
        <w:t xml:space="preserve">The most common route to public markets is the traditional Initial Public Offering (IPO). In a traditional IPO, the company hires one or more investment banks — known as underwriters — to manage the process of selling newly issued shares to the public for the first time. The major steps are:</w:t>
      </w:r>
    </w:p>
    <w:p>
      <w:pPr>
        <w:pStyle w:val="ListParagraph"/>
        <w:numPr>
          <w:ilvl w:val="0"/>
          <w:numId w:val="2"/>
        </w:numPr>
        <w:spacing w:after="120" w:before="0" w:line="300"/>
      </w:pPr>
      <w:r>
        <w:rPr>
          <w:rFonts w:ascii="Arial" w:cs="Arial" w:eastAsia="Arial" w:hAnsi="Arial"/>
          <w:color w:val="1A1A1A"/>
          <w:sz w:val="22"/>
          <w:szCs w:val="22"/>
        </w:rPr>
        <w:t xml:space="preserve">Selecting underwriters: The company selects a lead investment bank (the 'bookrunner') and often a syndicate of co-underwriters. For a company of SpaceX's scale, this would be a group of the largest banks on Wall Street.</w:t>
      </w:r>
    </w:p>
    <w:p>
      <w:pPr>
        <w:pStyle w:val="ListParagraph"/>
        <w:numPr>
          <w:ilvl w:val="0"/>
          <w:numId w:val="2"/>
        </w:numPr>
        <w:spacing w:after="120" w:before="0" w:line="300"/>
      </w:pPr>
      <w:r>
        <w:rPr>
          <w:rFonts w:ascii="Arial" w:cs="Arial" w:eastAsia="Arial" w:hAnsi="Arial"/>
          <w:color w:val="1A1A1A"/>
          <w:sz w:val="22"/>
          <w:szCs w:val="22"/>
        </w:rPr>
        <w:t xml:space="preserve">SEC registration &amp; filing: The company files a registration statement (Form S-1) with the Securities and Exchange Commission. This document discloses, for the first time, comprehensive audited financial statements, business operations, risk factors, executive compensation, and ownership structure.</w:t>
      </w:r>
    </w:p>
    <w:p>
      <w:pPr>
        <w:pStyle w:val="ListParagraph"/>
        <w:numPr>
          <w:ilvl w:val="0"/>
          <w:numId w:val="2"/>
        </w:numPr>
        <w:spacing w:after="120" w:before="0" w:line="300"/>
      </w:pPr>
      <w:r>
        <w:rPr>
          <w:rFonts w:ascii="Arial" w:cs="Arial" w:eastAsia="Arial" w:hAnsi="Arial"/>
          <w:color w:val="1A1A1A"/>
          <w:sz w:val="22"/>
          <w:szCs w:val="22"/>
        </w:rPr>
        <w:t xml:space="preserve">The roadshow: Company executives and bankers conduct a series of presentations to institutional investors (mutual funds, pension funds, hedge funds) to generate demand and gauge the price the market will bear for the shares.</w:t>
      </w:r>
    </w:p>
    <w:p>
      <w:pPr>
        <w:pStyle w:val="ListParagraph"/>
        <w:numPr>
          <w:ilvl w:val="0"/>
          <w:numId w:val="2"/>
        </w:numPr>
        <w:spacing w:after="120" w:before="0" w:line="300"/>
      </w:pPr>
      <w:r>
        <w:rPr>
          <w:rFonts w:ascii="Arial" w:cs="Arial" w:eastAsia="Arial" w:hAnsi="Arial"/>
          <w:color w:val="1A1A1A"/>
          <w:sz w:val="22"/>
          <w:szCs w:val="22"/>
        </w:rPr>
        <w:t xml:space="preserve">Pricing: Based on roadshow feedback, the underwriters and company set a final IPO price per share. New shares are then sold at this price to institutional investors on the evening before the first day of trading.</w:t>
      </w:r>
    </w:p>
    <w:p>
      <w:pPr>
        <w:pStyle w:val="ListParagraph"/>
        <w:numPr>
          <w:ilvl w:val="0"/>
          <w:numId w:val="2"/>
        </w:numPr>
        <w:spacing w:after="120" w:before="0" w:line="300"/>
      </w:pPr>
      <w:r>
        <w:rPr>
          <w:rFonts w:ascii="Arial" w:cs="Arial" w:eastAsia="Arial" w:hAnsi="Arial"/>
          <w:color w:val="1A1A1A"/>
          <w:sz w:val="22"/>
          <w:szCs w:val="22"/>
        </w:rPr>
        <w:t xml:space="preserve">First day of trading: The company's shares begin trading on a public exchange (NYSE or NASDAQ) under a ticker symbol. The 'pop' — the difference between the IPO price and the first-day closing price — is widely watched as a measure of market demand.</w:t>
      </w:r>
    </w:p>
    <w:p>
      <w:pPr>
        <w:spacing w:after="160" w:before="0" w:line="320"/>
        <w:jc w:val="both"/>
      </w:pPr>
      <w:r>
        <w:rPr>
          <w:rFonts w:ascii="Arial" w:cs="Arial" w:eastAsia="Arial" w:hAnsi="Arial"/>
          <w:color w:val="1A1A1A"/>
          <w:sz w:val="22"/>
          <w:szCs w:val="22"/>
        </w:rPr>
        <w:t xml:space="preserve">In a traditional IPO, the company typically issues new shares and raises new capital. Existing shareholders (employees, early investors, secondary market fund holders) generally do not sell their shares at IPO — they must wait through a lock-up period before doing so.</w:t>
      </w:r>
    </w:p>
    <w:p>
      <w:pPr>
        <w:pStyle w:val="Heading2"/>
        <w:spacing w:after="160" w:before="360"/>
      </w:pPr>
      <w:r>
        <w:rPr>
          <w:rFonts w:ascii="Arial" w:cs="Arial" w:eastAsia="Arial" w:hAnsi="Arial"/>
          <w:b/>
          <w:bCs/>
          <w:color w:val="0F1A2E"/>
          <w:sz w:val="28"/>
          <w:szCs w:val="28"/>
        </w:rPr>
        <w:t xml:space="preserve">The Lock-Up Period</w:t>
      </w:r>
    </w:p>
    <w:p>
      <w:pPr>
        <w:spacing w:after="160" w:before="0" w:line="320"/>
        <w:jc w:val="both"/>
      </w:pPr>
      <w:r>
        <w:rPr>
          <w:rFonts w:ascii="Arial" w:cs="Arial" w:eastAsia="Arial" w:hAnsi="Arial"/>
          <w:color w:val="1A1A1A"/>
          <w:sz w:val="22"/>
          <w:szCs w:val="22"/>
        </w:rPr>
        <w:t xml:space="preserve">One of the most important concepts for any pre-IPO investor to understand is the lock-up period. A lock-up is a contractual restriction that prevents company insiders — founders, employees, early investors, and holders of pre-IPO shares — from selling their shares for a defined period after the IPO. Lock-up periods are typically 90 to 180 days, with 180 days (approximately six months) being the most common standard for large U.S. technology and growth company IPOs.</w:t>
      </w:r>
    </w:p>
    <w:p>
      <w:pPr>
        <w:spacing w:after="160" w:before="0" w:line="320"/>
        <w:jc w:val="both"/>
      </w:pPr>
      <w:r>
        <w:rPr>
          <w:rFonts w:ascii="Arial" w:cs="Arial" w:eastAsia="Arial" w:hAnsi="Arial"/>
          <w:color w:val="1A1A1A"/>
          <w:sz w:val="22"/>
          <w:szCs w:val="22"/>
        </w:rPr>
        <w:t xml:space="preserve">The rationale for lock-ups is market stability: if everyone who held pre-IPO shares could immediately sell on the first day of trading, the market would be flooded with supply, suppressing the share price and potentially destabilizing the newly public company. Lock-ups protect public market investors by ensuring that early holders cannot immediately dump shares into the new market.</w:t>
      </w:r>
    </w:p>
    <w:p>
      <w:pPr>
        <w:spacing w:after="160" w:before="0" w:line="320"/>
        <w:jc w:val="both"/>
      </w:pPr>
      <w:r>
        <w:rPr>
          <w:rFonts w:ascii="Arial" w:cs="Arial" w:eastAsia="Arial" w:hAnsi="Arial"/>
          <w:color w:val="1A1A1A"/>
          <w:sz w:val="22"/>
          <w:szCs w:val="22"/>
        </w:rPr>
        <w:t xml:space="preserve">For secondary market investors in SpaceX, the lock-up period is a critical planning consideration. Even in a best-case scenario — where SpaceX conducts an IPO and the share price rises significantly — investors in the SPX XX vehicle would be prohibited from selling for approximately 180 days post-IPO. During that window, the share price could rise further, remain flat, or decline substantially. Investors have no ability to exit regardless of what happens to the price.</w:t>
      </w:r>
    </w:p>
    <w:p>
      <w:pPr>
        <w:spacing w:after="160" w:before="0" w:line="320"/>
        <w:jc w:val="both"/>
      </w:pPr>
      <w:r>
        <w:rPr>
          <w:rFonts w:ascii="Arial" w:cs="Arial" w:eastAsia="Arial" w:hAnsi="Arial"/>
          <w:color w:val="1A1A1A"/>
          <w:sz w:val="22"/>
          <w:szCs w:val="22"/>
        </w:rPr>
        <w:t xml:space="preserve">Historically, the expiration of the lock-up period is often accompanied by selling pressure as early holders take profits, which can cause share prices to decline temporarily around the lock-up expiration date. Investors should model this dynamic into their exit planning.</w:t>
      </w:r>
    </w:p>
    <w:p>
      <w:pPr>
        <w:pStyle w:val="Heading2"/>
        <w:spacing w:after="160" w:before="360"/>
      </w:pPr>
      <w:r>
        <w:rPr>
          <w:rFonts w:ascii="Arial" w:cs="Arial" w:eastAsia="Arial" w:hAnsi="Arial"/>
          <w:b/>
          <w:bCs/>
          <w:color w:val="0F1A2E"/>
          <w:sz w:val="28"/>
          <w:szCs w:val="28"/>
        </w:rPr>
        <w:t xml:space="preserve">Direct Listings</w:t>
      </w:r>
    </w:p>
    <w:p>
      <w:pPr>
        <w:spacing w:after="160" w:before="0" w:line="320"/>
        <w:jc w:val="both"/>
      </w:pPr>
      <w:r>
        <w:rPr>
          <w:rFonts w:ascii="Arial" w:cs="Arial" w:eastAsia="Arial" w:hAnsi="Arial"/>
          <w:color w:val="1A1A1A"/>
          <w:sz w:val="22"/>
          <w:szCs w:val="22"/>
        </w:rPr>
        <w:t xml:space="preserve">A direct listing is an alternative to the traditional IPO that has been used by a small number of high-profile companies, including Spotify (2018), Slack (2019), and Coinbase (2021). In a direct listing, the company does not issue new shares and does not raise new capital. Instead, existing shareholders — employees and early investors — are permitted to sell their existing shares directly to public market buyers on the first day of trading, with no underwriting syndicate and no IPO price set in advance.</w:t>
      </w:r>
    </w:p>
    <w:p>
      <w:pPr>
        <w:spacing w:after="160" w:before="0" w:line="320"/>
        <w:jc w:val="both"/>
      </w:pPr>
      <w:r>
        <w:rPr>
          <w:rFonts w:ascii="Arial" w:cs="Arial" w:eastAsia="Arial" w:hAnsi="Arial"/>
          <w:color w:val="1A1A1A"/>
          <w:sz w:val="22"/>
          <w:szCs w:val="22"/>
        </w:rPr>
        <w:t xml:space="preserve">The key distinctions between a direct listing and a traditional IPO are:</w:t>
      </w:r>
    </w:p>
    <w:p>
      <w:pPr>
        <w:pStyle w:val="ListParagraph"/>
        <w:numPr>
          <w:ilvl w:val="0"/>
          <w:numId w:val="2"/>
        </w:numPr>
        <w:spacing w:after="120" w:before="0" w:line="300"/>
      </w:pPr>
      <w:r>
        <w:rPr>
          <w:rFonts w:ascii="Arial" w:cs="Arial" w:eastAsia="Arial" w:hAnsi="Arial"/>
          <w:color w:val="1A1A1A"/>
          <w:sz w:val="22"/>
          <w:szCs w:val="22"/>
        </w:rPr>
        <w:t xml:space="preserve">No new capital raised: The company receives no proceeds from a direct listing. It is purely a liquidity event for existing shareholders, not a fundraising exercise.</w:t>
      </w:r>
    </w:p>
    <w:p>
      <w:pPr>
        <w:pStyle w:val="ListParagraph"/>
        <w:numPr>
          <w:ilvl w:val="0"/>
          <w:numId w:val="2"/>
        </w:numPr>
        <w:spacing w:after="120" w:before="0" w:line="300"/>
      </w:pPr>
      <w:r>
        <w:rPr>
          <w:rFonts w:ascii="Arial" w:cs="Arial" w:eastAsia="Arial" w:hAnsi="Arial"/>
          <w:color w:val="1A1A1A"/>
          <w:sz w:val="22"/>
          <w:szCs w:val="22"/>
        </w:rPr>
        <w:t xml:space="preserve">No lock-up period (typically): Because there is no underwriter syndicate to protect, direct listings often do not impose the traditional 180-day lock-up.</w:t>
      </w:r>
    </w:p>
    <w:p>
      <w:pPr>
        <w:pStyle w:val="ListParagraph"/>
        <w:numPr>
          <w:ilvl w:val="0"/>
          <w:numId w:val="2"/>
        </w:numPr>
        <w:spacing w:after="120" w:before="0" w:line="300"/>
      </w:pPr>
      <w:r>
        <w:rPr>
          <w:rFonts w:ascii="Arial" w:cs="Arial" w:eastAsia="Arial" w:hAnsi="Arial"/>
          <w:color w:val="1A1A1A"/>
          <w:sz w:val="22"/>
          <w:szCs w:val="22"/>
        </w:rPr>
        <w:t xml:space="preserve">Price discovery in real time: The opening share price is determined entirely by market supply and demand on the opening day, without the pre-set IPO price established through a roadshow.</w:t>
      </w:r>
    </w:p>
    <w:p>
      <w:pPr>
        <w:pStyle w:val="ListParagraph"/>
        <w:numPr>
          <w:ilvl w:val="0"/>
          <w:numId w:val="2"/>
        </w:numPr>
        <w:spacing w:after="120" w:before="0" w:line="300"/>
      </w:pPr>
      <w:r>
        <w:rPr>
          <w:rFonts w:ascii="Arial" w:cs="Arial" w:eastAsia="Arial" w:hAnsi="Arial"/>
          <w:color w:val="1A1A1A"/>
          <w:sz w:val="22"/>
          <w:szCs w:val="22"/>
        </w:rPr>
        <w:t xml:space="preserve">No underwriting fees: The company avoids paying underwriting commissions (typically 3–7% of proceeds in a traditional IPO), though advisory fees are still incurred.</w:t>
      </w:r>
    </w:p>
    <w:p>
      <w:pPr>
        <w:spacing w:after="160" w:before="0" w:line="320"/>
        <w:jc w:val="both"/>
      </w:pPr>
      <w:r>
        <w:rPr>
          <w:rFonts w:ascii="Arial" w:cs="Arial" w:eastAsia="Arial" w:hAnsi="Arial"/>
          <w:color w:val="1A1A1A"/>
          <w:sz w:val="22"/>
          <w:szCs w:val="22"/>
        </w:rPr>
        <w:t xml:space="preserve">For SpaceX secondary market investors, a direct listing would be the more favorable outcome from a liquidity perspective — potentially allowing immediate sale of shares without a lock-up restriction. However, a direct listing is significantly less likely for SpaceX given its scale, the expectation that any public offering would involve capital raising, and the complexity of its shareholder base.</w:t>
      </w:r>
    </w:p>
    <w:p>
      <w:pPr>
        <w:pStyle w:val="Heading2"/>
        <w:spacing w:after="160" w:before="360"/>
      </w:pPr>
      <w:r>
        <w:rPr>
          <w:rFonts w:ascii="Arial" w:cs="Arial" w:eastAsia="Arial" w:hAnsi="Arial"/>
          <w:b/>
          <w:bCs/>
          <w:color w:val="0F1A2E"/>
          <w:sz w:val="28"/>
          <w:szCs w:val="28"/>
        </w:rPr>
        <w:t xml:space="preserve">SPACs (Special Purpose Acquisition Companies)</w:t>
      </w:r>
    </w:p>
    <w:p>
      <w:pPr>
        <w:spacing w:after="160" w:before="0" w:line="320"/>
        <w:jc w:val="both"/>
      </w:pPr>
      <w:r>
        <w:rPr>
          <w:rFonts w:ascii="Arial" w:cs="Arial" w:eastAsia="Arial" w:hAnsi="Arial"/>
          <w:color w:val="1A1A1A"/>
          <w:sz w:val="22"/>
          <w:szCs w:val="22"/>
        </w:rPr>
        <w:t xml:space="preserve">A third pathway to public markets is the SPAC — a blank-check company that raises capital in an IPO specifically for the purpose of acquiring or merging with a private company, effectively taking the private company public through the merger. SPACs were highly popular in 2020–2021 but have faced significant regulatory scrutiny and declining deal volume since.</w:t>
      </w:r>
    </w:p>
    <w:p>
      <w:pPr>
        <w:spacing w:after="160" w:before="0" w:line="320"/>
        <w:jc w:val="both"/>
      </w:pPr>
      <w:r>
        <w:rPr>
          <w:rFonts w:ascii="Arial" w:cs="Arial" w:eastAsia="Arial" w:hAnsi="Arial"/>
          <w:color w:val="1A1A1A"/>
          <w:sz w:val="22"/>
          <w:szCs w:val="22"/>
        </w:rPr>
        <w:t xml:space="preserve">A SPAC merger is considered unlikely for SpaceX given the company's scale — SpaceX's valuation would dwarf any SPAC vehicle — and the regulatory and reputational complexities involved. We include it for completeness but do not consider it a probable pathway.</w:t>
      </w:r>
    </w:p>
    <w:p>
      <w:pPr>
        <w:pStyle w:val="Heading2"/>
        <w:spacing w:after="160" w:before="360"/>
      </w:pPr>
      <w:r>
        <w:rPr>
          <w:rFonts w:ascii="Arial" w:cs="Arial" w:eastAsia="Arial" w:hAnsi="Arial"/>
          <w:b/>
          <w:bCs/>
          <w:color w:val="0F1A2E"/>
          <w:sz w:val="28"/>
          <w:szCs w:val="28"/>
        </w:rPr>
        <w:t xml:space="preserve">The Starlink Spin-Off Scenario</w:t>
      </w:r>
    </w:p>
    <w:p>
      <w:pPr>
        <w:spacing w:after="160" w:before="0" w:line="320"/>
        <w:jc w:val="both"/>
      </w:pPr>
      <w:r>
        <w:rPr>
          <w:rFonts w:ascii="Arial" w:cs="Arial" w:eastAsia="Arial" w:hAnsi="Arial"/>
          <w:color w:val="1A1A1A"/>
          <w:sz w:val="22"/>
          <w:szCs w:val="22"/>
        </w:rPr>
        <w:t xml:space="preserve">A scenario that has been discussed publicly and is considered plausible by market observers is a partial IPO of Starlink as a standalone entity, while SpaceX itself remains private. In this structure, Starlink's satellite internet business would be separated from SpaceX's launch and Starship operations and listed as a public company — providing a liquidity event tied to one of SpaceX's most valuable business segments, without requiring the entire corporation to become public.</w:t>
      </w:r>
    </w:p>
    <w:p>
      <w:pPr>
        <w:spacing w:after="160" w:before="0" w:line="320"/>
        <w:jc w:val="both"/>
      </w:pPr>
      <w:r>
        <w:rPr>
          <w:rFonts w:ascii="Arial" w:cs="Arial" w:eastAsia="Arial" w:hAnsi="Arial"/>
          <w:color w:val="1A1A1A"/>
          <w:sz w:val="22"/>
          <w:szCs w:val="22"/>
        </w:rPr>
        <w:t xml:space="preserve">For secondary market investors holding interests in SpaceX — rather than Starlink specifically — a Starlink-only IPO would not directly provide liquidity, although it might unlock value by establishing a public market reference price for Starlink that supports SpaceX's overall valuation in any subsequent private tender or secondary market transaction. Investors in the SPX XX vehicle should clarify whether any distributions or liquidity mechanisms would be triggered in a Starlink-only IPO scenario.</w:t>
      </w:r>
    </w:p>
    <w:p>
      <w:pPr>
        <w:pStyle w:val="Heading2"/>
        <w:spacing w:after="160" w:before="360"/>
      </w:pPr>
      <w:r>
        <w:rPr>
          <w:rFonts w:ascii="Arial" w:cs="Arial" w:eastAsia="Arial" w:hAnsi="Arial"/>
          <w:b/>
          <w:bCs/>
          <w:color w:val="0F1A2E"/>
          <w:sz w:val="28"/>
          <w:szCs w:val="28"/>
        </w:rPr>
        <w:t xml:space="preserve">IPO Pathway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400"/>
        <w:gridCol w:w="2360"/>
      </w:tblGrid>
      <w:tr>
        <w:trPr>
          <w:tblHeader/>
        </w:trPr>
        <w:tc>
          <w:tcPr>
            <w:tcW w:type="dxa" w:w="220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Pathway</w:t>
            </w:r>
          </w:p>
        </w:tc>
        <w:tc>
          <w:tcPr>
            <w:tcW w:type="dxa" w:w="240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Capital Raised?</w:t>
            </w:r>
          </w:p>
        </w:tc>
        <w:tc>
          <w:tcPr>
            <w:tcW w:type="dxa" w:w="240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Lock-Up?</w:t>
            </w:r>
          </w:p>
        </w:tc>
        <w:tc>
          <w:tcPr>
            <w:tcW w:type="dxa" w:w="236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Relevance to SpaceX</w:t>
            </w:r>
          </w:p>
        </w:tc>
      </w:tr>
      <w:tr>
        <w:tc>
          <w:tcPr>
            <w:tcW w:type="dxa" w:w="22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Traditional IPO</w:t>
            </w:r>
          </w:p>
        </w:tc>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Yes — new shares issued</w:t>
            </w:r>
          </w:p>
        </w:tc>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Yes — typically 180 days</w:t>
            </w:r>
          </w:p>
        </w:tc>
        <w:tc>
          <w:tcPr>
            <w:tcW w:type="dxa" w:w="236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Most likely pathway</w:t>
            </w:r>
          </w:p>
        </w:tc>
      </w:tr>
      <w:tr>
        <w:tc>
          <w:tcPr>
            <w:tcW w:type="dxa" w:w="22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Direct Listing</w:t>
            </w:r>
          </w:p>
        </w:tc>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No — existing shares only</w:t>
            </w:r>
          </w:p>
        </w:tc>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No — immediate liquidity possible</w:t>
            </w:r>
          </w:p>
        </w:tc>
        <w:tc>
          <w:tcPr>
            <w:tcW w:type="dxa" w:w="236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Possible but less likely</w:t>
            </w:r>
          </w:p>
        </w:tc>
      </w:tr>
      <w:tr>
        <w:tc>
          <w:tcPr>
            <w:tcW w:type="dxa" w:w="22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SPAC Merger</w:t>
            </w:r>
          </w:p>
        </w:tc>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SPAC trust proceeds</w:t>
            </w:r>
          </w:p>
        </w:tc>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Yes — typically 180 days</w:t>
            </w:r>
          </w:p>
        </w:tc>
        <w:tc>
          <w:tcPr>
            <w:tcW w:type="dxa" w:w="236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Very unlikely at this scale</w:t>
            </w:r>
          </w:p>
        </w:tc>
      </w:tr>
      <w:tr>
        <w:tc>
          <w:tcPr>
            <w:tcW w:type="dxa" w:w="22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Starlink Spin-Off</w:t>
            </w:r>
          </w:p>
        </w:tc>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Yes — Starlink entity only</w:t>
            </w:r>
          </w:p>
        </w:tc>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Yes — 180 days for Starlink</w:t>
            </w:r>
          </w:p>
        </w:tc>
        <w:tc>
          <w:tcPr>
            <w:tcW w:type="dxa" w:w="236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Plausible; partial liquidity</w:t>
            </w:r>
          </w:p>
        </w:tc>
      </w:tr>
    </w:tbl>
    <w:p>
      <w:pPr>
        <w:spacing w:after="0" w:before="240"/>
      </w:pPr>
      <w:r>
        <w:t xml:space="preserve"/>
      </w:r>
    </w:p>
    <w:p>
      <w:pPr>
        <w:spacing w:after="80" w:before="0"/>
      </w:pPr>
      <w:r>
        <w:rPr>
          <w:rFonts w:ascii="Arial" w:cs="Arial" w:eastAsia="Arial" w:hAnsi="Arial"/>
          <w:b/>
          <w:bCs/>
          <w:color w:val="C5993E"/>
          <w:spacing w:val="60"/>
          <w:sz w:val="16"/>
          <w:szCs w:val="16"/>
        </w:rPr>
        <w:t xml:space="preserve">SECTION 6</w:t>
      </w:r>
    </w:p>
    <w:p>
      <w:pPr>
        <w:pStyle w:val="Heading1"/>
        <w:spacing w:after="200" w:before="0"/>
      </w:pPr>
      <w:r>
        <w:rPr>
          <w:rFonts w:ascii="Arial" w:cs="Arial" w:eastAsia="Arial" w:hAnsi="Arial"/>
          <w:b/>
          <w:bCs/>
          <w:color w:val="0F1A2E"/>
          <w:sz w:val="44"/>
          <w:szCs w:val="44"/>
        </w:rPr>
        <w:t xml:space="preserve">The IPO Question: Will SpaceX Go Public?</w:t>
      </w:r>
    </w:p>
    <w:p>
      <w:pPr>
        <w:pBdr>
          <w:bottom w:val="single" w:color="C5993E" w:sz="8" w:space="4"/>
        </w:pBdr>
        <w:spacing w:after="320" w:before="320"/>
      </w:pPr>
      <w:r>
        <w:t xml:space="preserve"/>
      </w:r>
    </w:p>
    <w:p>
      <w:pPr>
        <w:spacing w:after="160" w:before="0" w:line="320"/>
        <w:jc w:val="both"/>
      </w:pPr>
      <w:r>
        <w:rPr>
          <w:rFonts w:ascii="Arial" w:cs="Arial" w:eastAsia="Arial" w:hAnsi="Arial"/>
          <w:color w:val="1A1A1A"/>
          <w:sz w:val="22"/>
          <w:szCs w:val="22"/>
        </w:rPr>
        <w:t xml:space="preserve">The central thesis of any SpaceX secondary market investment is that the company will eventually conduct an initial public offering, creating a liquid exit for secondary market investors. This assumption deserves careful examination.</w:t>
      </w:r>
    </w:p>
    <w:p>
      <w:pPr>
        <w:spacing w:after="160" w:before="0" w:line="320"/>
        <w:jc w:val="both"/>
      </w:pPr>
      <w:r>
        <w:rPr>
          <w:rFonts w:ascii="Arial" w:cs="Arial" w:eastAsia="Arial" w:hAnsi="Arial"/>
          <w:color w:val="1A1A1A"/>
          <w:sz w:val="22"/>
          <w:szCs w:val="22"/>
        </w:rPr>
        <w:t xml:space="preserve">Elon Musk has made statements over the years both suggesting and discouraging the prospect of a SpaceX IPO. The most frequently discussed position is that Starlink could be spun out as a public entity — allowing SpaceX itself to remain private while providing a partial liquidity event. No confirmed timeline for any IPO has been publicly announced.</w:t>
      </w:r>
    </w:p>
    <w:p>
      <w:pPr>
        <w:spacing w:after="160" w:before="0" w:line="320"/>
        <w:jc w:val="both"/>
      </w:pPr>
      <w:r>
        <w:rPr>
          <w:rFonts w:ascii="Arial" w:cs="Arial" w:eastAsia="Arial" w:hAnsi="Arial"/>
          <w:color w:val="1A1A1A"/>
          <w:sz w:val="22"/>
          <w:szCs w:val="22"/>
        </w:rPr>
        <w:t xml:space="preserve">The risk that SpaceX does not go public within any predictable time horizon — or potentially never — is a core risk of this investment. Should the company remain private indefinitely, secondary market investors would be left with illiquid interests in an unlisted entity, with no clear mechanism for realizing value. The secondary market for secondary market interests in SpaceX would likely be even thinner and less transparent than the current primary secondary market.</w:t>
      </w:r>
    </w:p>
    <w:p>
      <w:pPr>
        <w:spacing w:after="160" w:before="0" w:line="320"/>
        <w:jc w:val="both"/>
      </w:pPr>
      <w:r>
        <w:rPr>
          <w:rFonts w:ascii="Arial" w:cs="Arial" w:eastAsia="Arial" w:hAnsi="Arial"/>
          <w:color w:val="1A1A1A"/>
          <w:sz w:val="22"/>
          <w:szCs w:val="22"/>
        </w:rPr>
        <w:t xml:space="preserve">Investors should model scenarios in which no IPO occurs within five, ten, or even twenty years, and assess whether the potential upside justifies holding an illiquid position for an uncertain duration.</w:t>
      </w:r>
    </w:p>
    <w:p>
      <w:pPr>
        <w:spacing w:after="80" w:before="0"/>
      </w:pPr>
      <w:r>
        <w:rPr>
          <w:rFonts w:ascii="Arial" w:cs="Arial" w:eastAsia="Arial" w:hAnsi="Arial"/>
          <w:b/>
          <w:bCs/>
          <w:color w:val="C5993E"/>
          <w:spacing w:val="60"/>
          <w:sz w:val="16"/>
          <w:szCs w:val="16"/>
        </w:rPr>
        <w:t xml:space="preserve">SECTION 7</w:t>
      </w:r>
    </w:p>
    <w:p>
      <w:pPr>
        <w:pStyle w:val="Heading1"/>
        <w:spacing w:after="200" w:before="0"/>
      </w:pPr>
      <w:r>
        <w:rPr>
          <w:rFonts w:ascii="Arial" w:cs="Arial" w:eastAsia="Arial" w:hAnsi="Arial"/>
          <w:b/>
          <w:bCs/>
          <w:color w:val="0F1A2E"/>
          <w:sz w:val="44"/>
          <w:szCs w:val="44"/>
        </w:rPr>
        <w:t xml:space="preserve">Material Investment Risk Assessment</w:t>
      </w:r>
    </w:p>
    <w:p>
      <w:pPr>
        <w:pBdr>
          <w:bottom w:val="single" w:color="C5993E" w:sz="8" w:space="4"/>
        </w:pBdr>
        <w:spacing w:after="320" w:before="320"/>
      </w:pPr>
      <w:r>
        <w:t xml:space="preserve"/>
      </w:r>
    </w:p>
    <w:p>
      <w:pPr>
        <w:spacing w:after="160" w:before="0" w:line="320"/>
        <w:jc w:val="both"/>
      </w:pPr>
      <w:r>
        <w:rPr>
          <w:rFonts w:ascii="Arial" w:cs="Arial" w:eastAsia="Arial" w:hAnsi="Arial"/>
          <w:color w:val="1A1A1A"/>
          <w:sz w:val="22"/>
          <w:szCs w:val="22"/>
        </w:rPr>
        <w:t xml:space="preserve">The following risk register summarizes the primary risks identified by our advisory team. Risks are rated on a three-level scale: HIGH, MEDIUM, and 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400"/>
        <w:gridCol w:w="1560"/>
      </w:tblGrid>
      <w:tr>
        <w:trPr>
          <w:tblHeader/>
        </w:trPr>
        <w:tc>
          <w:tcPr>
            <w:tcW w:type="dxa" w:w="240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Risk Factor</w:t>
            </w:r>
          </w:p>
        </w:tc>
        <w:tc>
          <w:tcPr>
            <w:tcW w:type="dxa" w:w="540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Description</w:t>
            </w:r>
          </w:p>
        </w:tc>
        <w:tc>
          <w:tcPr>
            <w:tcW w:type="dxa" w:w="156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Level</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No IPO / Indefinite Private Status</w:t>
            </w:r>
          </w:p>
        </w:tc>
        <w:tc>
          <w:tcPr>
            <w:tcW w:type="dxa" w:w="5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SpaceX may never conduct a public offering. If no IPO occurs, investors face indefinite illiquidity with no guaranteed exit path.</w:t>
            </w:r>
          </w:p>
        </w:tc>
        <w:tc>
          <w:tcPr>
            <w:tcW w:type="dxa" w:w="156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HIGH</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Liquidity Risk</w:t>
            </w:r>
          </w:p>
        </w:tc>
        <w:tc>
          <w:tcPr>
            <w:tcW w:type="dxa" w:w="5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There is no secondary market for Fund Interests. Investors must be prepared to hold their position for an indefinite period and may be unable to exit even if SpaceX's value declines.</w:t>
            </w:r>
          </w:p>
        </w:tc>
        <w:tc>
          <w:tcPr>
            <w:tcW w:type="dxa" w:w="156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HIGH</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Key Person Risk (Musk)</w:t>
            </w:r>
          </w:p>
        </w:tc>
        <w:tc>
          <w:tcPr>
            <w:tcW w:type="dxa" w:w="5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SpaceX's strategy, valuation, and culture are deeply tied to Elon Musk. Any adverse event affecting Musk — health, regulatory action, reputational damage, or loss of focus — could materially impair the company's value.</w:t>
            </w:r>
          </w:p>
        </w:tc>
        <w:tc>
          <w:tcPr>
            <w:tcW w:type="dxa" w:w="156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HIGH</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Valuation Risk</w:t>
            </w:r>
          </w:p>
        </w:tc>
        <w:tc>
          <w:tcPr>
            <w:tcW w:type="dxa" w:w="5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The $1.00T post-money valuation is speculative and not supported by publicly disclosed financials. The company's price-to-earnings or price-to-revenue ratios cannot be independently verified.</w:t>
            </w:r>
          </w:p>
        </w:tc>
        <w:tc>
          <w:tcPr>
            <w:tcW w:type="dxa" w:w="156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HIGH</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Political &amp; Regulatory Risk</w:t>
            </w:r>
          </w:p>
        </w:tc>
        <w:tc>
          <w:tcPr>
            <w:tcW w:type="dxa" w:w="5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Musk's prominent political profile in U.S. politics creates exposure to retaliatory regulatory action, contract challenges, or government contract risk in the event of political change.</w:t>
            </w:r>
          </w:p>
        </w:tc>
        <w:tc>
          <w:tcPr>
            <w:tcW w:type="dxa" w:w="156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HIGH</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Fee &amp; Cost Drag</w:t>
            </w:r>
          </w:p>
        </w:tc>
        <w:tc>
          <w:tcPr>
            <w:tcW w:type="dxa" w:w="5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Total fee load (broker fee, management fee, carried interest) may consume 25–35% of gross capital committed before any investment return, requiring significant appreciation to achieve break-even.</w:t>
            </w:r>
          </w:p>
        </w:tc>
        <w:tc>
          <w:tcPr>
            <w:tcW w:type="dxa" w:w="156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HIGH</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Concentration Risk</w:t>
            </w:r>
          </w:p>
        </w:tc>
        <w:tc>
          <w:tcPr>
            <w:tcW w:type="dxa" w:w="5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SpaceX is a single-asset position in a single company with no current revenues disclosed publicly to support a $1T valuation. Diversification is not possible within this vehicle.</w:t>
            </w:r>
          </w:p>
        </w:tc>
        <w:tc>
          <w:tcPr>
            <w:tcW w:type="dxa" w:w="1560"/>
            <w:tcBorders>
              <w:top w:val="single" w:color="DDD6C4" w:sz="4"/>
              <w:left w:val="single" w:color="DDD6C4" w:sz="4"/>
              <w:bottom w:val="single" w:color="DDD6C4" w:sz="4"/>
              <w:right w:val="single" w:color="DDD6C4" w:sz="4"/>
            </w:tcBorders>
            <w:shd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MED</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Legal &amp; Structural Risk</w:t>
            </w:r>
          </w:p>
        </w:tc>
        <w:tc>
          <w:tcPr>
            <w:tcW w:type="dxa" w:w="5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Multi-layer SPV structure with broad manager discretion; fee terms may be finalized post-execution; transfer restrictions are severe.</w:t>
            </w:r>
          </w:p>
        </w:tc>
        <w:tc>
          <w:tcPr>
            <w:tcW w:type="dxa" w:w="1560"/>
            <w:tcBorders>
              <w:top w:val="single" w:color="DDD6C4" w:sz="4"/>
              <w:left w:val="single" w:color="DDD6C4" w:sz="4"/>
              <w:bottom w:val="single" w:color="DDD6C4" w:sz="4"/>
              <w:right w:val="single" w:color="DDD6C4" w:sz="4"/>
            </w:tcBorders>
            <w:shd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MED</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IPO Lock-up Risk</w:t>
            </w:r>
          </w:p>
        </w:tc>
        <w:tc>
          <w:tcPr>
            <w:tcW w:type="dxa" w:w="5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Even if an IPO occurs, Fund Interests are subject to an approximately 180-day post-IPO lock-up during which shares cannot be freely traded, exposing investors to market movements.</w:t>
            </w:r>
          </w:p>
        </w:tc>
        <w:tc>
          <w:tcPr>
            <w:tcW w:type="dxa" w:w="1560"/>
            <w:tcBorders>
              <w:top w:val="single" w:color="DDD6C4" w:sz="4"/>
              <w:left w:val="single" w:color="DDD6C4" w:sz="4"/>
              <w:bottom w:val="single" w:color="DDD6C4" w:sz="4"/>
              <w:right w:val="single" w:color="DDD6C4" w:sz="4"/>
            </w:tcBorders>
            <w:shd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MED</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Defense Contract / ITAR Risk</w:t>
            </w:r>
          </w:p>
        </w:tc>
        <w:tc>
          <w:tcPr>
            <w:tcW w:type="dxa" w:w="5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Non-U.S. persons or entities with foreign beneficial ownership face significant legal and regulatory complexity in accessing these shares. Violations could result in penalties or forced divestiture.</w:t>
            </w:r>
          </w:p>
        </w:tc>
        <w:tc>
          <w:tcPr>
            <w:tcW w:type="dxa" w:w="1560"/>
            <w:tcBorders>
              <w:top w:val="single" w:color="DDD6C4" w:sz="4"/>
              <w:left w:val="single" w:color="DDD6C4" w:sz="4"/>
              <w:bottom w:val="single" w:color="DDD6C4" w:sz="4"/>
              <w:right w:val="single" w:color="DDD6C4" w:sz="4"/>
            </w:tcBorders>
            <w:shd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MED</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Information Asymmetry</w:t>
            </w:r>
          </w:p>
        </w:tc>
        <w:tc>
          <w:tcPr>
            <w:tcW w:type="dxa" w:w="5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Sellers in the secondary market may have material non-public information about SpaceX's condition. Buyers lack equivalent access, creating an inherently asymmetric transaction.</w:t>
            </w:r>
          </w:p>
        </w:tc>
        <w:tc>
          <w:tcPr>
            <w:tcW w:type="dxa" w:w="1560"/>
            <w:tcBorders>
              <w:top w:val="single" w:color="DDD6C4" w:sz="4"/>
              <w:left w:val="single" w:color="DDD6C4" w:sz="4"/>
              <w:bottom w:val="single" w:color="DDD6C4" w:sz="4"/>
              <w:right w:val="single" w:color="DDD6C4" w:sz="4"/>
            </w:tcBorders>
            <w:shd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MED</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Counterparty Risk</w:t>
            </w:r>
          </w:p>
        </w:tc>
        <w:tc>
          <w:tcPr>
            <w:tcW w:type="dxa" w:w="5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The Fund's ability to ultimately acquire the desired Portfolio Entity Securities on desired terms is not guaranteed; closing is contingent on multiple third-party actions.</w:t>
            </w:r>
          </w:p>
        </w:tc>
        <w:tc>
          <w:tcPr>
            <w:tcW w:type="dxa" w:w="1560"/>
            <w:tcBorders>
              <w:top w:val="single" w:color="DDD6C4" w:sz="4"/>
              <w:left w:val="single" w:color="DDD6C4" w:sz="4"/>
              <w:bottom w:val="single" w:color="DDD6C4" w:sz="4"/>
              <w:right w:val="single" w:color="DDD6C4" w:sz="4"/>
            </w:tcBorders>
            <w:shd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MED</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Competitive Risk</w:t>
            </w:r>
          </w:p>
        </w:tc>
        <w:tc>
          <w:tcPr>
            <w:tcW w:type="dxa" w:w="5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Amazon Kuiper, OneWeb, Telesat LEO, and emerging launch competitors (Rocket Lab, Blue Origin, ULA) compete with SpaceX's core revenue streams and could reduce Starlink's competitive moat.</w:t>
            </w:r>
          </w:p>
        </w:tc>
        <w:tc>
          <w:tcPr>
            <w:tcW w:type="dxa" w:w="1560"/>
            <w:tcBorders>
              <w:top w:val="single" w:color="DDD6C4" w:sz="4"/>
              <w:left w:val="single" w:color="DDD6C4" w:sz="4"/>
              <w:bottom w:val="single" w:color="DDD6C4" w:sz="4"/>
              <w:right w:val="single" w:color="DDD6C4" w:sz="4"/>
            </w:tcBorders>
            <w:shd w:fill="2C7A4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LOW</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Technology Risk</w:t>
            </w:r>
          </w:p>
        </w:tc>
        <w:tc>
          <w:tcPr>
            <w:tcW w:type="dxa" w:w="5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While SpaceX has a strong track record, Starship development could face further delays; any high-profile mission failure could affect government contract renewals and public perception.</w:t>
            </w:r>
          </w:p>
        </w:tc>
        <w:tc>
          <w:tcPr>
            <w:tcW w:type="dxa" w:w="1560"/>
            <w:tcBorders>
              <w:top w:val="single" w:color="DDD6C4" w:sz="4"/>
              <w:left w:val="single" w:color="DDD6C4" w:sz="4"/>
              <w:bottom w:val="single" w:color="DDD6C4" w:sz="4"/>
              <w:right w:val="single" w:color="DDD6C4" w:sz="4"/>
            </w:tcBorders>
            <w:shd w:fill="2C7A4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LOW</w:t>
            </w:r>
          </w:p>
        </w:tc>
      </w:tr>
    </w:tbl>
    <w:p>
      <w:pPr>
        <w:spacing w:after="0" w:before="240"/>
      </w:pPr>
      <w:r>
        <w:t xml:space="preserve"/>
      </w:r>
    </w:p>
    <w:p>
      <w:pPr>
        <w:spacing w:after="80" w:before="0"/>
      </w:pPr>
      <w:r>
        <w:rPr>
          <w:rFonts w:ascii="Arial" w:cs="Arial" w:eastAsia="Arial" w:hAnsi="Arial"/>
          <w:b/>
          <w:bCs/>
          <w:color w:val="C5993E"/>
          <w:spacing w:val="60"/>
          <w:sz w:val="16"/>
          <w:szCs w:val="16"/>
        </w:rPr>
        <w:t xml:space="preserve">SECTION 8</w:t>
      </w:r>
    </w:p>
    <w:p>
      <w:pPr>
        <w:pStyle w:val="Heading1"/>
        <w:spacing w:after="200" w:before="0"/>
      </w:pPr>
      <w:r>
        <w:rPr>
          <w:rFonts w:ascii="Arial" w:cs="Arial" w:eastAsia="Arial" w:hAnsi="Arial"/>
          <w:b/>
          <w:bCs/>
          <w:color w:val="0F1A2E"/>
          <w:sz w:val="44"/>
          <w:szCs w:val="44"/>
        </w:rPr>
        <w:t xml:space="preserve">Investment Considerations &amp; Outlook</w:t>
      </w:r>
    </w:p>
    <w:p>
      <w:pPr>
        <w:pBdr>
          <w:bottom w:val="single" w:color="C5993E" w:sz="8" w:space="4"/>
        </w:pBdr>
        <w:spacing w:after="320" w:before="320"/>
      </w:pPr>
      <w:r>
        <w:t xml:space="preserve"/>
      </w:r>
    </w:p>
    <w:p>
      <w:pPr>
        <w:pStyle w:val="Heading2"/>
        <w:spacing w:after="160" w:before="360"/>
      </w:pPr>
      <w:r>
        <w:rPr>
          <w:rFonts w:ascii="Arial" w:cs="Arial" w:eastAsia="Arial" w:hAnsi="Arial"/>
          <w:b/>
          <w:bCs/>
          <w:color w:val="0F1A2E"/>
          <w:sz w:val="28"/>
          <w:szCs w:val="28"/>
        </w:rPr>
        <w:t xml:space="preserve">The Bull Case</w:t>
      </w:r>
    </w:p>
    <w:p>
      <w:pPr>
        <w:spacing w:after="160" w:before="0" w:line="320"/>
        <w:jc w:val="both"/>
      </w:pPr>
      <w:r>
        <w:rPr>
          <w:rFonts w:ascii="Arial" w:cs="Arial" w:eastAsia="Arial" w:hAnsi="Arial"/>
          <w:color w:val="1A1A1A"/>
          <w:sz w:val="22"/>
          <w:szCs w:val="22"/>
        </w:rPr>
        <w:t xml:space="preserve">The optimistic scenario for SpaceX is genuinely extraordinary. If Starlink achieves profitability at scale with 100+ million subscribers, if Starship successfully commercializes, if the company conducts an IPO or Starlink spin-off at a premium to today's secondary market valuation, and if Musk remains at the helm executing on his vision, the upside for pre-IPO investors who accessed shares at a meaningful discount to a future public market price could be substantial.</w:t>
      </w:r>
    </w:p>
    <w:p>
      <w:pPr>
        <w:spacing w:after="160" w:before="0" w:line="320"/>
        <w:jc w:val="both"/>
      </w:pPr>
      <w:r>
        <w:rPr>
          <w:rFonts w:ascii="Arial" w:cs="Arial" w:eastAsia="Arial" w:hAnsi="Arial"/>
          <w:color w:val="1A1A1A"/>
          <w:sz w:val="22"/>
          <w:szCs w:val="22"/>
        </w:rPr>
        <w:t xml:space="preserve">Companies with comparable trajectories — Amazon in the mid-2000s, Apple in the early 2000s — rewarded patient, high-conviction investors with returns measured in multiples rather than percentages. There is a credible argument that SpaceX could become one of the defining companies of the century.</w:t>
      </w:r>
    </w:p>
    <w:p>
      <w:pPr>
        <w:pStyle w:val="Heading2"/>
        <w:spacing w:after="160" w:before="360"/>
      </w:pPr>
      <w:r>
        <w:rPr>
          <w:rFonts w:ascii="Arial" w:cs="Arial" w:eastAsia="Arial" w:hAnsi="Arial"/>
          <w:b/>
          <w:bCs/>
          <w:color w:val="0F1A2E"/>
          <w:sz w:val="28"/>
          <w:szCs w:val="28"/>
        </w:rPr>
        <w:t xml:space="preserve">The Bear Case</w:t>
      </w:r>
    </w:p>
    <w:p>
      <w:pPr>
        <w:spacing w:after="160" w:before="0" w:line="320"/>
        <w:jc w:val="both"/>
      </w:pPr>
      <w:r>
        <w:rPr>
          <w:rFonts w:ascii="Arial" w:cs="Arial" w:eastAsia="Arial" w:hAnsi="Arial"/>
          <w:color w:val="1A1A1A"/>
          <w:sz w:val="22"/>
          <w:szCs w:val="22"/>
        </w:rPr>
        <w:t xml:space="preserve">The bear case is more nuanced than a simple business failure scenario. SpaceX could remain operationally successful and strategically important while generating little or no return for secondary market investors if: the company remains private indefinitely; secondary market prices already fully reflect (or overreflect) the bull case; or if fees and costs consume returns that the company does generate.</w:t>
      </w:r>
    </w:p>
    <w:p>
      <w:pPr>
        <w:spacing w:after="160" w:before="0" w:line="320"/>
        <w:jc w:val="both"/>
      </w:pPr>
      <w:r>
        <w:rPr>
          <w:rFonts w:ascii="Arial" w:cs="Arial" w:eastAsia="Arial" w:hAnsi="Arial"/>
          <w:color w:val="1A1A1A"/>
          <w:sz w:val="22"/>
          <w:szCs w:val="22"/>
        </w:rPr>
        <w:t xml:space="preserve">The political dimension deserves specific attention. Elon Musk's prominent and often polarizing role in U.S. political life — and his highly visible alliance with one side of the current political divide — creates tail risks that conventional aerospace investments do not carry. Historical patterns suggest that companies closely identified with political figures can face concerted pressure from opposing political movements: regulatory scrutiny, contract challenges, and organized consumer backlash. The vandalism wave directed at Tesla properties in 2025 demonstrated that Musk's political profile creates real, tangible risks for his companies. As the political cycle turns, investors should expect that pattern to persist.</w:t>
      </w:r>
    </w:p>
    <w:p>
      <w:pPr>
        <w:spacing w:after="160" w:before="0" w:line="320"/>
        <w:jc w:val="both"/>
      </w:pPr>
      <w:r>
        <w:rPr>
          <w:rFonts w:ascii="Arial" w:cs="Arial" w:eastAsia="Arial" w:hAnsi="Arial"/>
          <w:color w:val="1A1A1A"/>
          <w:sz w:val="22"/>
          <w:szCs w:val="22"/>
        </w:rPr>
        <w:t xml:space="preserve">This is not to suggest that SpaceX's government contracts are at imminent risk — its operational capabilities are genuinely difficult to replace — but the risk of elevated scrutiny, competitive pressure on future contract awards, and reputational volatility is not trivial.</w:t>
      </w:r>
    </w:p>
    <w:p>
      <w:pPr>
        <w:pStyle w:val="Heading2"/>
        <w:spacing w:after="160" w:before="360"/>
      </w:pPr>
      <w:r>
        <w:rPr>
          <w:rFonts w:ascii="Arial" w:cs="Arial" w:eastAsia="Arial" w:hAnsi="Arial"/>
          <w:b/>
          <w:bCs/>
          <w:color w:val="0F1A2E"/>
          <w:sz w:val="28"/>
          <w:szCs w:val="28"/>
        </w:rPr>
        <w:t xml:space="preserve">Our Advisory Assessment</w:t>
      </w:r>
    </w:p>
    <w:p>
      <w:pPr>
        <w:spacing w:after="160" w:before="0" w:line="320"/>
        <w:jc w:val="both"/>
      </w:pPr>
      <w:r>
        <w:rPr>
          <w:rFonts w:ascii="Arial" w:cs="Arial" w:eastAsia="Arial" w:hAnsi="Arial"/>
          <w:color w:val="1A1A1A"/>
          <w:sz w:val="22"/>
          <w:szCs w:val="22"/>
        </w:rPr>
        <w:t xml:space="preserve">Our team views SpaceX as one of the most compelling long-term investment theses in the private market — but cautions that the current fee structure and implied valuation of the vehicle analyzed herein significantly reduce the margin of safety for investors. The key questions any prospective investor should answer before committing capital are:</w:t>
      </w:r>
    </w:p>
    <w:p>
      <w:pPr>
        <w:pStyle w:val="ListParagraph"/>
        <w:numPr>
          <w:ilvl w:val="0"/>
          <w:numId w:val="2"/>
        </w:numPr>
        <w:spacing w:after="120" w:before="0" w:line="300"/>
      </w:pPr>
      <w:r>
        <w:rPr>
          <w:rFonts w:ascii="Arial" w:cs="Arial" w:eastAsia="Arial" w:hAnsi="Arial"/>
          <w:color w:val="1A1A1A"/>
          <w:sz w:val="22"/>
          <w:szCs w:val="22"/>
        </w:rPr>
        <w:t xml:space="preserve">Can I hold this investment for 5–15+ years with no expectation of liquidity?</w:t>
      </w:r>
    </w:p>
    <w:p>
      <w:pPr>
        <w:pStyle w:val="ListParagraph"/>
        <w:numPr>
          <w:ilvl w:val="0"/>
          <w:numId w:val="2"/>
        </w:numPr>
        <w:spacing w:after="120" w:before="0" w:line="300"/>
      </w:pPr>
      <w:r>
        <w:rPr>
          <w:rFonts w:ascii="Arial" w:cs="Arial" w:eastAsia="Arial" w:hAnsi="Arial"/>
          <w:color w:val="1A1A1A"/>
          <w:sz w:val="22"/>
          <w:szCs w:val="22"/>
        </w:rPr>
        <w:t xml:space="preserve">Have I modeled my break-even accounting for 25–35% total fee drag before carried interest?</w:t>
      </w:r>
    </w:p>
    <w:p>
      <w:pPr>
        <w:pStyle w:val="ListParagraph"/>
        <w:numPr>
          <w:ilvl w:val="0"/>
          <w:numId w:val="2"/>
        </w:numPr>
        <w:spacing w:after="120" w:before="0" w:line="300"/>
      </w:pPr>
      <w:r>
        <w:rPr>
          <w:rFonts w:ascii="Arial" w:cs="Arial" w:eastAsia="Arial" w:hAnsi="Arial"/>
          <w:color w:val="1A1A1A"/>
          <w:sz w:val="22"/>
          <w:szCs w:val="22"/>
        </w:rPr>
        <w:t xml:space="preserve">Am I comfortable with a single-asset, speculative position at a $1T implied valuation?</w:t>
      </w:r>
    </w:p>
    <w:p>
      <w:pPr>
        <w:pStyle w:val="ListParagraph"/>
        <w:numPr>
          <w:ilvl w:val="0"/>
          <w:numId w:val="2"/>
        </w:numPr>
        <w:spacing w:after="120" w:before="0" w:line="300"/>
      </w:pPr>
      <w:r>
        <w:rPr>
          <w:rFonts w:ascii="Arial" w:cs="Arial" w:eastAsia="Arial" w:hAnsi="Arial"/>
          <w:color w:val="1A1A1A"/>
          <w:sz w:val="22"/>
          <w:szCs w:val="22"/>
        </w:rPr>
        <w:t xml:space="preserve">Have I consulted qualified legal counsel about the ITAR and securities law implications for my specific circumstances?</w:t>
      </w:r>
    </w:p>
    <w:p>
      <w:pPr>
        <w:pStyle w:val="ListParagraph"/>
        <w:numPr>
          <w:ilvl w:val="0"/>
          <w:numId w:val="2"/>
        </w:numPr>
        <w:spacing w:after="120" w:before="0" w:line="300"/>
      </w:pPr>
      <w:r>
        <w:rPr>
          <w:rFonts w:ascii="Arial" w:cs="Arial" w:eastAsia="Arial" w:hAnsi="Arial"/>
          <w:color w:val="1A1A1A"/>
          <w:sz w:val="22"/>
          <w:szCs w:val="22"/>
        </w:rPr>
        <w:t xml:space="preserve">Do I have independent legal and financial advice on this transaction beyond the Fund Documents?</w:t>
      </w:r>
    </w:p>
    <w:p>
      <w:pPr>
        <w:spacing w:after="160" w:before="0" w:line="320"/>
        <w:jc w:val="both"/>
      </w:pPr>
      <w:r>
        <w:rPr>
          <w:rFonts w:ascii="Arial" w:cs="Arial" w:eastAsia="Arial" w:hAnsi="Arial"/>
          <w:color w:val="1A1A1A"/>
          <w:sz w:val="22"/>
          <w:szCs w:val="22"/>
        </w:rPr>
        <w:t xml:space="preserve">For qualified investors who can answer yes to the above, SpaceX secondary market exposure — at appropriate position sizing as part of a diversified portfolio — is a defensible strategic allocation. This report does not constitute a recommendation to invest, and our team strongly advises all clients to obtain independent legal, tax, and financial advice before proceeding.</w:t>
      </w:r>
    </w:p>
    <w:p>
      <w:pPr>
        <w:spacing w:after="80" w:before="0"/>
      </w:pPr>
      <w:r>
        <w:rPr>
          <w:rFonts w:ascii="Arial" w:cs="Arial" w:eastAsia="Arial" w:hAnsi="Arial"/>
          <w:b/>
          <w:bCs/>
          <w:color w:val="C5993E"/>
          <w:spacing w:val="60"/>
          <w:sz w:val="16"/>
          <w:szCs w:val="16"/>
        </w:rPr>
        <w:t xml:space="preserve">SECTION 9</w:t>
      </w:r>
    </w:p>
    <w:p>
      <w:pPr>
        <w:pStyle w:val="Heading1"/>
        <w:spacing w:after="200" w:before="0"/>
      </w:pPr>
      <w:r>
        <w:rPr>
          <w:rFonts w:ascii="Arial" w:cs="Arial" w:eastAsia="Arial" w:hAnsi="Arial"/>
          <w:b/>
          <w:bCs/>
          <w:color w:val="0F1A2E"/>
          <w:sz w:val="44"/>
          <w:szCs w:val="44"/>
        </w:rPr>
        <w:t xml:space="preserve">Document Review Summary</w:t>
      </w:r>
    </w:p>
    <w:p>
      <w:pPr>
        <w:pBdr>
          <w:bottom w:val="single" w:color="C5993E" w:sz="8" w:space="4"/>
        </w:pBdr>
        <w:spacing w:after="320" w:before="320"/>
      </w:pPr>
      <w:r>
        <w:t xml:space="preserve"/>
      </w:r>
    </w:p>
    <w:p>
      <w:pPr>
        <w:spacing w:after="160" w:before="0" w:line="320"/>
        <w:jc w:val="both"/>
      </w:pPr>
      <w:r>
        <w:rPr>
          <w:rFonts w:ascii="Arial" w:cs="Arial" w:eastAsia="Arial" w:hAnsi="Arial"/>
          <w:color w:val="1A1A1A"/>
          <w:sz w:val="22"/>
          <w:szCs w:val="22"/>
        </w:rPr>
        <w:t xml:space="preserve">Our team reviewed the following fund documents provided in connection with the SPX XX offering:</w:t>
      </w:r>
    </w:p>
    <w:p>
      <w:pPr>
        <w:pStyle w:val="ListParagraph"/>
        <w:numPr>
          <w:ilvl w:val="0"/>
          <w:numId w:val="2"/>
        </w:numPr>
        <w:spacing w:after="120" w:before="0" w:line="300"/>
      </w:pPr>
      <w:r>
        <w:rPr>
          <w:rFonts w:ascii="Arial" w:cs="Arial" w:eastAsia="Arial" w:hAnsi="Arial"/>
          <w:color w:val="1A1A1A"/>
          <w:sz w:val="22"/>
          <w:szCs w:val="22"/>
        </w:rPr>
        <w:t xml:space="preserve">Private Placement Memorandum — SPX XX, a Series of Astro Funds LLC</w:t>
      </w:r>
    </w:p>
    <w:p>
      <w:pPr>
        <w:pStyle w:val="ListParagraph"/>
        <w:numPr>
          <w:ilvl w:val="0"/>
          <w:numId w:val="2"/>
        </w:numPr>
        <w:spacing w:after="120" w:before="0" w:line="300"/>
      </w:pPr>
      <w:r>
        <w:rPr>
          <w:rFonts w:ascii="Arial" w:cs="Arial" w:eastAsia="Arial" w:hAnsi="Arial"/>
          <w:color w:val="1A1A1A"/>
          <w:sz w:val="22"/>
          <w:szCs w:val="22"/>
        </w:rPr>
        <w:t xml:space="preserve">Operating Agreement — SPX XX, a Series of Astro Funds LLC</w:t>
      </w:r>
    </w:p>
    <w:p>
      <w:pPr>
        <w:pStyle w:val="ListParagraph"/>
        <w:numPr>
          <w:ilvl w:val="0"/>
          <w:numId w:val="2"/>
        </w:numPr>
        <w:spacing w:after="120" w:before="0" w:line="300"/>
      </w:pPr>
      <w:r>
        <w:rPr>
          <w:rFonts w:ascii="Arial" w:cs="Arial" w:eastAsia="Arial" w:hAnsi="Arial"/>
          <w:color w:val="1A1A1A"/>
          <w:sz w:val="22"/>
          <w:szCs w:val="22"/>
        </w:rPr>
        <w:t xml:space="preserve">Subscription Agreement — SPX XX, a Series of Astro Funds LLC</w:t>
      </w:r>
    </w:p>
    <w:p>
      <w:pPr>
        <w:pStyle w:val="ListParagraph"/>
        <w:numPr>
          <w:ilvl w:val="0"/>
          <w:numId w:val="2"/>
        </w:numPr>
        <w:spacing w:after="120" w:before="0" w:line="300"/>
      </w:pPr>
      <w:r>
        <w:rPr>
          <w:rFonts w:ascii="Arial" w:cs="Arial" w:eastAsia="Arial" w:hAnsi="Arial"/>
          <w:color w:val="1A1A1A"/>
          <w:sz w:val="22"/>
          <w:szCs w:val="22"/>
        </w:rPr>
        <w:t xml:space="preserve">Notices and related correspondence</w:t>
      </w:r>
    </w:p>
    <w:p>
      <w:pPr>
        <w:spacing w:after="160" w:before="0" w:line="320"/>
        <w:jc w:val="both"/>
      </w:pPr>
      <w:r>
        <w:rPr>
          <w:rFonts w:ascii="Arial" w:cs="Arial" w:eastAsia="Arial" w:hAnsi="Arial"/>
          <w:color w:val="1A1A1A"/>
          <w:sz w:val="22"/>
          <w:szCs w:val="22"/>
        </w:rPr>
        <w:t xml:space="preserve">Key observations from document review:</w:t>
      </w:r>
    </w:p>
    <w:p>
      <w:pPr>
        <w:pStyle w:val="ListParagraph"/>
        <w:numPr>
          <w:ilvl w:val="0"/>
          <w:numId w:val="2"/>
        </w:numPr>
        <w:spacing w:after="120" w:before="0" w:line="300"/>
      </w:pPr>
      <w:r>
        <w:rPr>
          <w:rFonts w:ascii="Arial" w:cs="Arial" w:eastAsia="Arial" w:hAnsi="Arial"/>
          <w:color w:val="1A1A1A"/>
          <w:sz w:val="22"/>
          <w:szCs w:val="22"/>
        </w:rPr>
        <w:t xml:space="preserve">The PPM is structured as a template-based offering document with certain terms (including fund name and effective date) designated for completion in the accompanying Subscription Agreement. This is not unusual for series fund structures but investors should ensure all blanks are completed to their satisfaction before execution.</w:t>
      </w:r>
    </w:p>
    <w:p>
      <w:pPr>
        <w:pStyle w:val="ListParagraph"/>
        <w:numPr>
          <w:ilvl w:val="0"/>
          <w:numId w:val="2"/>
        </w:numPr>
        <w:spacing w:after="120" w:before="0" w:line="300"/>
      </w:pPr>
      <w:r>
        <w:rPr>
          <w:rFonts w:ascii="Arial" w:cs="Arial" w:eastAsia="Arial" w:hAnsi="Arial"/>
          <w:color w:val="1A1A1A"/>
          <w:sz w:val="22"/>
          <w:szCs w:val="22"/>
        </w:rPr>
        <w:t xml:space="preserve">The Subscription Agreement confirms share pricing at $421.00 per share against a $1.00T post-money valuation, with explicit disclosure that 'the Identified Securities are likely to be of less value than implied by the price per share of its Subscription.' This is an extraordinary disclosure that investors should take seriously.</w:t>
      </w:r>
    </w:p>
    <w:p>
      <w:pPr>
        <w:pStyle w:val="ListParagraph"/>
        <w:numPr>
          <w:ilvl w:val="0"/>
          <w:numId w:val="2"/>
        </w:numPr>
        <w:spacing w:after="120" w:before="0" w:line="300"/>
      </w:pPr>
      <w:r>
        <w:rPr>
          <w:rFonts w:ascii="Arial" w:cs="Arial" w:eastAsia="Arial" w:hAnsi="Arial"/>
          <w:color w:val="1A1A1A"/>
          <w:sz w:val="22"/>
          <w:szCs w:val="22"/>
        </w:rPr>
        <w:t xml:space="preserve">Manager discretion over fee finalization is broad. The Operating Agreement allows the Investment Manager to determine final fee amounts where blanks exist, and Subscribers contractually waive the right to comparative fee disclosure versus other Fund members.</w:t>
      </w:r>
    </w:p>
    <w:p>
      <w:pPr>
        <w:pStyle w:val="ListParagraph"/>
        <w:numPr>
          <w:ilvl w:val="0"/>
          <w:numId w:val="2"/>
        </w:numPr>
        <w:spacing w:after="120" w:before="0" w:line="300"/>
      </w:pPr>
      <w:r>
        <w:rPr>
          <w:rFonts w:ascii="Arial" w:cs="Arial" w:eastAsia="Arial" w:hAnsi="Arial"/>
          <w:color w:val="1A1A1A"/>
          <w:sz w:val="22"/>
          <w:szCs w:val="22"/>
        </w:rPr>
        <w:t xml:space="preserve">The Offering is made pursuant to Section 4(a)(2) of the Securities Act and Rule 506 of Regulation D. The Fund is not registered as an investment company under the Investment Company Act of 1940. These are standard exemptions for private placements.</w:t>
      </w:r>
    </w:p>
    <w:p>
      <w:pPr>
        <w:pStyle w:val="ListParagraph"/>
        <w:numPr>
          <w:ilvl w:val="0"/>
          <w:numId w:val="2"/>
        </w:numPr>
        <w:spacing w:after="120" w:before="0" w:line="300"/>
      </w:pPr>
      <w:r>
        <w:rPr>
          <w:rFonts w:ascii="Arial" w:cs="Arial" w:eastAsia="Arial" w:hAnsi="Arial"/>
          <w:color w:val="1A1A1A"/>
          <w:sz w:val="22"/>
          <w:szCs w:val="22"/>
        </w:rPr>
        <w:t xml:space="preserve">The governing law is Delaware; any disputes would be subject to Delaware jurisdiction.</w:t>
      </w:r>
    </w:p>
    <w:p>
      <w:pPr>
        <w:spacing w:after="160" w:before="0" w:line="320"/>
        <w:jc w:val="both"/>
      </w:pPr>
      <w:r>
        <w:rPr>
          <w:rFonts w:ascii="Arial" w:cs="Arial" w:eastAsia="Arial" w:hAnsi="Arial"/>
          <w:color w:val="1A1A1A"/>
          <w:sz w:val="22"/>
          <w:szCs w:val="22"/>
        </w:rPr>
        <w:t xml:space="preserve">We recommend that any prospective investor retain independent securities counsel to review the full suite of Fund Documents before execution, and particularly to evaluate the manager discretion provisions, fee finalization language, and transfer restriction framework.</w:t>
      </w:r>
    </w:p>
    <w:p>
      <w:pPr>
        <w:spacing w:after="80" w:before="0"/>
      </w:pPr>
      <w:r>
        <w:rPr>
          <w:rFonts w:ascii="Arial" w:cs="Arial" w:eastAsia="Arial" w:hAnsi="Arial"/>
          <w:b/>
          <w:bCs/>
          <w:color w:val="C5993E"/>
          <w:spacing w:val="60"/>
          <w:sz w:val="16"/>
          <w:szCs w:val="16"/>
        </w:rPr>
        <w:t xml:space="preserve">SECTION 10</w:t>
      </w:r>
    </w:p>
    <w:p>
      <w:pPr>
        <w:pStyle w:val="Heading1"/>
        <w:spacing w:after="200" w:before="0"/>
      </w:pPr>
      <w:r>
        <w:rPr>
          <w:rFonts w:ascii="Arial" w:cs="Arial" w:eastAsia="Arial" w:hAnsi="Arial"/>
          <w:b/>
          <w:bCs/>
          <w:color w:val="0F1A2E"/>
          <w:sz w:val="44"/>
          <w:szCs w:val="44"/>
        </w:rPr>
        <w:t xml:space="preserve">Conclusion</w:t>
      </w:r>
    </w:p>
    <w:p>
      <w:pPr>
        <w:pBdr>
          <w:bottom w:val="single" w:color="C5993E" w:sz="8" w:space="4"/>
        </w:pBdr>
        <w:spacing w:after="320" w:before="320"/>
      </w:pPr>
      <w:r>
        <w:t xml:space="preserve"/>
      </w:r>
    </w:p>
    <w:p>
      <w:pPr>
        <w:spacing w:after="160" w:before="0" w:line="320"/>
        <w:jc w:val="both"/>
      </w:pPr>
      <w:r>
        <w:rPr>
          <w:rFonts w:ascii="Arial" w:cs="Arial" w:eastAsia="Arial" w:hAnsi="Arial"/>
          <w:color w:val="1A1A1A"/>
          <w:sz w:val="22"/>
          <w:szCs w:val="22"/>
        </w:rPr>
        <w:t xml:space="preserve">SpaceX represents one of the defining private investment opportunities of this era — a company that has fundamentally reshaped the aerospace industry, is building critical national security infrastructure, and is pursuing the most ambitious commercial expansion programs in the history of private enterprise. The secondary market for SpaceX shares offers qualified investors a rare window into this company before any public offering.</w:t>
      </w:r>
    </w:p>
    <w:p>
      <w:pPr>
        <w:spacing w:after="160" w:before="0" w:line="320"/>
        <w:jc w:val="both"/>
      </w:pPr>
      <w:r>
        <w:rPr>
          <w:rFonts w:ascii="Arial" w:cs="Arial" w:eastAsia="Arial" w:hAnsi="Arial"/>
          <w:color w:val="1A1A1A"/>
          <w:sz w:val="22"/>
          <w:szCs w:val="22"/>
        </w:rPr>
        <w:t xml:space="preserve">However, this opportunity comes with substantial complexity, cost, and risk. The fee structure of the vehicle analyzed — 10% broker fee, 15% management fee prepaid over three years, 25% carried interest — means investors need significant appreciation simply to break even. The $1.00T implied valuation is speculative in the absence of public financials. The risk of indefinite illiquidity is real and meaningful. And the political dynamics surrounding Elon Musk introduce a class of risk not traditionally associated with aerospace investments.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5993E" w:sz="24"/>
              <w:bottom w:val="none" w:color="FFFFFF" w:sz="0"/>
              <w:right w:val="none" w:color="FFFFFF" w:sz="0"/>
            </w:tcBorders>
            <w:shd w:fill="FAF6EC" w:val="clear"/>
            <w:tcMar>
              <w:top w:type="dxa" w:w="240"/>
              <w:left w:type="dxa" w:w="280"/>
              <w:bottom w:type="dxa" w:w="240"/>
              <w:right w:type="dxa" w:w="280"/>
            </w:tcMar>
          </w:tcPr>
          <w:p>
            <w:pPr>
              <w:spacing w:after="120" w:before="0"/>
            </w:pPr>
            <w:r>
              <w:rPr>
                <w:rFonts w:ascii="Arial" w:cs="Arial" w:eastAsia="Arial" w:hAnsi="Arial"/>
                <w:b/>
                <w:bCs/>
                <w:color w:val="C5993E"/>
                <w:spacing w:val="80"/>
                <w:sz w:val="18"/>
                <w:szCs w:val="18"/>
              </w:rPr>
              <w:t xml:space="preserve">CI MAVERICKS ADVISORY POSITION</w:t>
            </w:r>
          </w:p>
          <w:p>
            <w:pPr>
              <w:spacing w:after="100" w:before="0" w:line="300"/>
            </w:pPr>
            <w:r>
              <w:rPr>
                <w:rFonts w:ascii="Arial" w:cs="Arial" w:eastAsia="Arial" w:hAnsi="Arial"/>
                <w:i/>
                <w:iCs/>
                <w:color w:val="0F1A2E"/>
                <w:sz w:val="22"/>
                <w:szCs w:val="22"/>
              </w:rPr>
              <w:t xml:space="preserve">SpaceX secondary market exposure can be a sound allocation for the right investor — one who is truly long-term, truly patient, truly sophisticated, and who accesses the investment at a position size that does not impair their overall financial position if the investment takes longer than expected, or fails to achieve the outcomes currently implied by secondary market pricing.</w:t>
            </w:r>
          </w:p>
          <w:p>
            <w:pPr>
              <w:spacing w:after="100" w:before="0" w:line="300"/>
            </w:pPr>
            <w:r>
              <w:rPr>
                <w:rFonts w:ascii="Arial" w:cs="Arial" w:eastAsia="Arial" w:hAnsi="Arial"/>
                <w:i/>
                <w:iCs/>
                <w:color w:val="0F1A2E"/>
                <w:sz w:val="22"/>
                <w:szCs w:val="22"/>
              </w:rPr>
              <w:t xml:space="preserve">The documents provided, the structure analyzed, and the market context reviewed all support proceeding with careful diligence — and not proceeding without it.</w:t>
            </w:r>
          </w:p>
        </w:tc>
      </w:tr>
    </w:tbl>
    <w:p>
      <w:pPr>
        <w:pBdr>
          <w:bottom w:val="single" w:color="C5993E" w:sz="12" w:space="6"/>
        </w:pBdr>
        <w:spacing w:after="240" w:before="240"/>
      </w:pPr>
      <w:r>
        <w:t xml:space="preserve"/>
      </w:r>
    </w:p>
    <w:p>
      <w:pPr>
        <w:spacing w:after="80" w:before="320"/>
        <w:jc w:val="center"/>
      </w:pPr>
      <w:r>
        <w:rPr>
          <w:rFonts w:ascii="Arial" w:cs="Arial" w:eastAsia="Arial" w:hAnsi="Arial"/>
          <w:b/>
          <w:bCs/>
          <w:color w:val="C5993E"/>
          <w:spacing w:val="80"/>
          <w:sz w:val="16"/>
          <w:szCs w:val="16"/>
        </w:rPr>
        <w:t xml:space="preserve">AUTHORED BY</w:t>
      </w:r>
    </w:p>
    <w:p>
      <w:pPr>
        <w:spacing w:after="60" w:before="0"/>
        <w:jc w:val="center"/>
      </w:pPr>
      <w:r>
        <w:rPr>
          <w:rFonts w:ascii="Arial" w:cs="Arial" w:eastAsia="Arial" w:hAnsi="Arial"/>
          <w:b/>
          <w:bCs/>
          <w:color w:val="0F1A2E"/>
          <w:sz w:val="24"/>
          <w:szCs w:val="24"/>
        </w:rPr>
        <w:t xml:space="preserve">Gordon Goss, CIM PFP FCSI</w:t>
      </w:r>
    </w:p>
    <w:p>
      <w:pPr>
        <w:spacing w:after="60" w:before="0"/>
        <w:jc w:val="center"/>
      </w:pPr>
      <w:r>
        <w:rPr>
          <w:rFonts w:ascii="Arial" w:cs="Arial" w:eastAsia="Arial" w:hAnsi="Arial"/>
          <w:color w:val="4A5568"/>
          <w:sz w:val="20"/>
          <w:szCs w:val="20"/>
        </w:rPr>
        <w:t xml:space="preserve">Lead Financial Consultant — CI Mavericks Advisory Services</w:t>
      </w:r>
    </w:p>
    <w:p>
      <w:pPr>
        <w:spacing w:after="320" w:before="0"/>
        <w:jc w:val="center"/>
      </w:pPr>
      <w:r>
        <w:rPr>
          <w:rFonts w:ascii="Arial" w:cs="Arial" w:eastAsia="Arial" w:hAnsi="Arial"/>
          <w:i/>
          <w:iCs/>
          <w:color w:val="4A5568"/>
          <w:sz w:val="20"/>
          <w:szCs w:val="20"/>
        </w:rPr>
        <w:t xml:space="preserve">Reviewed by Dr. Charles Motsinger, M.D. — Director, CI Mavericks Advisory Services</w:t>
      </w:r>
    </w:p>
    <w:p>
      <w:pPr>
        <w:pBdr>
          <w:bottom w:val="single" w:color="C5993E" w:sz="12" w:space="6"/>
        </w:pBdr>
        <w:spacing w:after="240" w:before="240"/>
      </w:pPr>
      <w:r>
        <w:t xml:space="preserve"/>
      </w:r>
    </w:p>
    <w:p>
      <w:pPr>
        <w:spacing w:after="120" w:before="240"/>
      </w:pPr>
      <w:r>
        <w:rPr>
          <w:rFonts w:ascii="Arial" w:cs="Arial" w:eastAsia="Arial" w:hAnsi="Arial"/>
          <w:b/>
          <w:bCs/>
          <w:color w:val="C5993E"/>
          <w:spacing w:val="80"/>
          <w:sz w:val="16"/>
          <w:szCs w:val="16"/>
        </w:rPr>
        <w:t xml:space="preserve">DISCLAIMER</w:t>
      </w:r>
    </w:p>
    <w:p>
      <w:pPr>
        <w:spacing w:after="160" w:before="0" w:line="280"/>
        <w:jc w:val="both"/>
      </w:pPr>
      <w:r>
        <w:rPr>
          <w:rFonts w:ascii="Arial" w:cs="Arial" w:eastAsia="Arial" w:hAnsi="Arial"/>
          <w:i/>
          <w:iCs/>
          <w:color w:val="4A5568"/>
          <w:sz w:val="18"/>
          <w:szCs w:val="18"/>
        </w:rPr>
        <w:t xml:space="preserve">This report is intended solely for sophisticated, accredited investors. It does not constitute investment advice, a solicitation, or an offer to buy or sell any securities. Investment in pre-IPO or private securities involves substantial risk, including total loss of capital. Past performance is not indicative of future results. Recipients should consult qualified legal, tax, and financial advisors before making any investment decision. CI Mavericks Advisory Services has no fiduciary or other duty to any recipient of this report unless otherwise expressly contracted in writing.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993E" w:sz="8" w:space="6"/>
      </w:pBdr>
      <w:tabs>
        <w:tab w:val="right" w:pos="9360"/>
      </w:tabs>
      <w:spacing w:after="0" w:before="80"/>
    </w:pPr>
    <w:r>
      <w:rPr>
        <w:rFonts w:ascii="Arial" w:cs="Arial" w:eastAsia="Arial" w:hAnsi="Arial"/>
        <w:b/>
        <w:bCs/>
        <w:color w:val="0F1A2E"/>
        <w:spacing w:val="60"/>
        <w:sz w:val="16"/>
        <w:szCs w:val="16"/>
      </w:rPr>
      <w:t xml:space="preserve">CI MAVERICKS ADVISORY SERVICES</w:t>
    </w:r>
    <w:r>
      <w:rPr>
        <w:rFonts w:ascii="Arial" w:cs="Arial" w:eastAsia="Arial" w:hAnsi="Arial"/>
        <w:color w:val="C5993E"/>
        <w:spacing w:val="40"/>
        <w:sz w:val="16"/>
        <w:szCs w:val="16"/>
      </w:rPr>
      <w:t xml:space="preserve">	CONFIDENTIAL — ACCREDITED INVESTORS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left"/>
    </w:pPr>
    <w:r>
      <w:drawing>
        <wp:inline distT="0" distB="0" distL="0" distR="0">
          <wp:extent cx="1333500" cy="361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0" cy="361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da715e1280a2a98391d908e44cf1940152d885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SpaceX Pre-IPO Investment Analysis</dc:title>
  <dc:creator>CI Mavericks Advisory Services</dc:creator>
  <cp:lastModifiedBy>Un-named</cp:lastModifiedBy>
  <cp:revision>1</cp:revision>
  <dcterms:created xsi:type="dcterms:W3CDTF">2026-04-30T20:31:43.732Z</dcterms:created>
  <dcterms:modified xsi:type="dcterms:W3CDTF">2026-04-30T20:31:43.746Z</dcterms:modified>
</cp:coreProperties>
</file>

<file path=docProps/custom.xml><?xml version="1.0" encoding="utf-8"?>
<Properties xmlns="http://schemas.openxmlformats.org/officeDocument/2006/custom-properties" xmlns:vt="http://schemas.openxmlformats.org/officeDocument/2006/docPropsVTypes"/>
</file>